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686"/>
        <w:gridCol w:w="5670"/>
      </w:tblGrid>
      <w:tr>
        <w:trPr>
          <w:trHeight w:val="708"/>
          <w:jc w:val="center"/>
        </w:trPr>
        <w:tc>
          <w:tcPr>
            <w:tcW w:w="3686" w:type="dxa"/>
          </w:tcPr>
          <w:p>
            <w:pPr>
              <w:jc w:val="center"/>
              <w:rPr>
                <w:sz w:val="26"/>
                <w:szCs w:val="26"/>
              </w:rPr>
            </w:pPr>
            <w:r>
              <w:rPr>
                <w:sz w:val="26"/>
                <w:szCs w:val="26"/>
              </w:rPr>
              <w:t>UBND TỈNH ĐIỆN BIÊN</w:t>
            </w:r>
          </w:p>
          <w:p>
            <w:pPr>
              <w:jc w:val="center"/>
              <w:rPr>
                <w:b/>
                <w:bCs/>
                <w:sz w:val="26"/>
                <w:szCs w:val="26"/>
              </w:rPr>
            </w:pPr>
            <w:r>
              <w:rPr>
                <w:b/>
                <w:bCs/>
                <w:noProof/>
                <w:sz w:val="28"/>
                <w:szCs w:val="26"/>
                <w:vertAlign w:val="superscript"/>
                <w:lang w:val="en-US"/>
              </w:rPr>
              <mc:AlternateContent>
                <mc:Choice Requires="wps">
                  <w:drawing>
                    <wp:anchor distT="0" distB="0" distL="114300" distR="114300" simplePos="0" relativeHeight="251656192" behindDoc="0" locked="0" layoutInCell="1" allowOverlap="1">
                      <wp:simplePos x="0" y="0"/>
                      <wp:positionH relativeFrom="column">
                        <wp:posOffset>936625</wp:posOffset>
                      </wp:positionH>
                      <wp:positionV relativeFrom="paragraph">
                        <wp:posOffset>223520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73.75pt;margin-top:17.6pt;width:2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CwVfxU&#10;3AAAAAkBAAAPAAAAZHJzL2Rvd25yZXYueG1sTI/NTsMwEITvSLyDtUhcEHUaCD8hTlUhceBIW4nr&#10;Nl6SQLyOYqcJfXoWcSjH2R3NfFOsZtepAw2h9WxguUhAEVfetlwb2G1frh9AhYhssfNMBr4pwKo8&#10;Pyswt37iNzpsYq0khEOOBpoY+1zrUDXkMCx8Tyy/Dz84jCKHWtsBJwl3nU6T5E47bFkaGuzpuaHq&#10;azM6AxTGbJmsH129ez1OV+/p8XPqt8ZcXszrJ1CR5ngywy++oEMpTHs/sg2qE317n4nVwE2WghKD&#10;1Mm4/d9Bl4X+v6D8AQAA//8DAFBLAQItABQABgAIAAAAIQC2gziS/gAAAOEBAAATAAAAAAAAAAAA&#10;AAAAAAAAAABbQ29udGVudF9UeXBlc10ueG1sUEsBAi0AFAAGAAgAAAAhADj9If/WAAAAlAEAAAsA&#10;AAAAAAAAAAAAAAAALwEAAF9yZWxzLy5yZWxzUEsBAi0AFAAGAAgAAAAhABJsGlzPAQAAjAMAAA4A&#10;AAAAAAAAAAAAAAAALgIAAGRycy9lMm9Eb2MueG1sUEsBAi0AFAAGAAgAAAAhALBV/FTcAAAACQEA&#10;AA8AAAAAAAAAAAAAAAAAKQQAAGRycy9kb3ducmV2LnhtbFBLBQYAAAAABAAEAPMAAAAyBQAAAAA=&#10;"/>
                  </w:pict>
                </mc:Fallback>
              </mc:AlternateContent>
            </w:r>
            <w:r>
              <w:rPr>
                <w:b/>
                <w:bCs/>
                <w:sz w:val="28"/>
                <w:szCs w:val="26"/>
              </w:rPr>
              <w:t>SỞ Y TẾ</w:t>
            </w:r>
          </w:p>
        </w:tc>
        <w:tc>
          <w:tcPr>
            <w:tcW w:w="5670" w:type="dxa"/>
          </w:tcPr>
          <w:p>
            <w:pPr>
              <w:jc w:val="center"/>
              <w:rPr>
                <w:b/>
                <w:bCs/>
                <w:sz w:val="26"/>
                <w:szCs w:val="26"/>
              </w:rPr>
            </w:pPr>
            <w:r>
              <w:rPr>
                <w:b/>
                <w:bCs/>
                <w:sz w:val="26"/>
                <w:szCs w:val="26"/>
              </w:rPr>
              <w:t>CỘNG HOÀ XÃ HỘI CHỦ NGHĨA VIỆT NAM</w:t>
            </w:r>
          </w:p>
          <w:p>
            <w:pPr>
              <w:jc w:val="center"/>
              <w:rPr>
                <w:b/>
                <w:bCs/>
                <w:sz w:val="26"/>
                <w:szCs w:val="26"/>
              </w:rPr>
            </w:pPr>
            <w:r>
              <w:rPr>
                <w:b/>
                <w:bCs/>
                <w:noProof/>
                <w:sz w:val="28"/>
                <w:szCs w:val="26"/>
                <w:lang w:val="en-US"/>
              </w:rPr>
              <mc:AlternateContent>
                <mc:Choice Requires="wps">
                  <w:drawing>
                    <wp:anchor distT="0" distB="0" distL="114300" distR="114300" simplePos="0" relativeHeight="251660288" behindDoc="0" locked="0" layoutInCell="1" allowOverlap="1">
                      <wp:simplePos x="0" y="0"/>
                      <wp:positionH relativeFrom="column">
                        <wp:posOffset>633095</wp:posOffset>
                      </wp:positionH>
                      <wp:positionV relativeFrom="paragraph">
                        <wp:posOffset>240665</wp:posOffset>
                      </wp:positionV>
                      <wp:extent cx="218694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2186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8.95pt" to="222.0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pHNvgEAAMEDAAAOAAAAZHJzL2Uyb0RvYy54bWysU02P0zAQvSPxHyzfadIKrZao6R66gguC&#10;igXuXmfcWGt7rLHpx79n7LQB8SEhtBcrY897M+/NZH138k4cgJLF0MvlopUCgsbBhn0vv3x+++pW&#10;ipRVGJTDAL08Q5J3m5cv1sfYwQpHdAOQYJKQumPs5Zhz7Jom6RG8SguMEPjRIHmVOaR9M5A6Mrt3&#10;zaptb5oj0hAJNaTEt/fTo9xUfmNA54/GJMjC9ZJ7y/Wkej6Ws9msVbcnFUerL22o/+jCKxu46Ex1&#10;r7IS38j+RuWtJkxo8kKjb9AYq6FqYDXL9hc1D6OKULWwOSnONqXno9UfDjsSduDZSRGU5xE9ZFJ2&#10;P2axxRDYQCSxLD4dY+o4fRt2dIlS3FERfTLkhXE2fi005YaFiVN1+Ty7DKcsNF+ulrc3b17zMPT1&#10;rZkoCjBSyu8AvSgfvXQ2FANUpw7vU+aynHpN4aC0NDVRv/LZQUl24RMYFsXFpnbqOsHWkTgoXoTh&#10;qQpirppZIMY6N4PaWvKvoEtugUFdsX8Fztm1IoY8A70NSH+qmk/XVs2Uf1U9aS2yH3E415FUO3hP&#10;qkuXnS6L+HNc4T/+vM13AAAA//8DAFBLAwQUAAYACAAAACEAAAj/RtsAAAAIAQAADwAAAGRycy9k&#10;b3ducmV2LnhtbEyPwU7DMBBE70j8g7VI3KhdSBuSZlOVSogzLZfenHhJosbrELtt+HuMOJTj7Ixm&#10;3hbryfbiTKPvHCPMZwoEce1Mxw3Cx/714RmED5qN7h0Twjd5WJe3N4XOjbvwO513oRGxhH2uEdoQ&#10;hlxKX7dktZ+5gTh6n260OkQ5NtKM+hLLbS8flVpKqzuOC60eaNtSfdydLML+zaqpCt2W+CtVm8PL&#10;YsmHBeL93bRZgQg0hWsYfvEjOpSRqXInNl70CFmWxiTCU5qBiH6SJHMQ1d9BloX8/0D5AwAA//8D&#10;AFBLAQItABQABgAIAAAAIQC2gziS/gAAAOEBAAATAAAAAAAAAAAAAAAAAAAAAABbQ29udGVudF9U&#10;eXBlc10ueG1sUEsBAi0AFAAGAAgAAAAhADj9If/WAAAAlAEAAAsAAAAAAAAAAAAAAAAALwEAAF9y&#10;ZWxzLy5yZWxzUEsBAi0AFAAGAAgAAAAhAHRmkc2+AQAAwQMAAA4AAAAAAAAAAAAAAAAALgIAAGRy&#10;cy9lMm9Eb2MueG1sUEsBAi0AFAAGAAgAAAAhAAAI/0bbAAAACAEAAA8AAAAAAAAAAAAAAAAAGAQA&#10;AGRycy9kb3ducmV2LnhtbFBLBQYAAAAABAAEAPMAAAAgBQAAAAA=&#10;" strokecolor="black [3200]" strokeweight=".5pt">
                      <v:stroke joinstyle="miter"/>
                    </v:line>
                  </w:pict>
                </mc:Fallback>
              </mc:AlternateContent>
            </w:r>
            <w:r>
              <w:rPr>
                <w:b/>
                <w:bCs/>
                <w:sz w:val="28"/>
                <w:szCs w:val="26"/>
              </w:rPr>
              <w:t>Độc lập - Tự do - Hạnh phúc</w:t>
            </w:r>
          </w:p>
        </w:tc>
      </w:tr>
      <w:tr>
        <w:trPr>
          <w:trHeight w:val="421"/>
          <w:jc w:val="center"/>
        </w:trPr>
        <w:tc>
          <w:tcPr>
            <w:tcW w:w="3686" w:type="dxa"/>
          </w:tcPr>
          <w:p>
            <w:pPr>
              <w:spacing w:before="120"/>
              <w:jc w:val="center"/>
              <w:rPr>
                <w:sz w:val="26"/>
                <w:szCs w:val="26"/>
              </w:rPr>
            </w:pPr>
            <w:r>
              <w:rPr>
                <w:sz w:val="26"/>
                <w:szCs w:val="26"/>
              </w:rPr>
              <w:t xml:space="preserve">Số:      </w:t>
            </w:r>
            <w:r>
              <w:rPr>
                <w:sz w:val="26"/>
                <w:szCs w:val="26"/>
                <w:lang w:val="en-US"/>
              </w:rPr>
              <w:t xml:space="preserve"> </w:t>
            </w:r>
            <w:r>
              <w:rPr>
                <w:sz w:val="26"/>
                <w:szCs w:val="26"/>
              </w:rPr>
              <w:t xml:space="preserve"> </w:t>
            </w:r>
            <w:r>
              <w:rPr>
                <w:sz w:val="26"/>
                <w:szCs w:val="26"/>
                <w:lang w:val="en-US"/>
              </w:rPr>
              <w:t xml:space="preserve">       </w:t>
            </w:r>
            <w:r>
              <w:rPr>
                <w:sz w:val="26"/>
                <w:szCs w:val="26"/>
              </w:rPr>
              <w:t xml:space="preserve">   /SYT-NVYD</w:t>
            </w:r>
          </w:p>
          <w:p>
            <w:pPr>
              <w:jc w:val="center"/>
              <w:rPr>
                <w:spacing w:val="-4"/>
                <w:sz w:val="24"/>
                <w:szCs w:val="24"/>
                <w:lang w:val="en-US"/>
              </w:rPr>
            </w:pPr>
            <w:r>
              <w:rPr>
                <w:spacing w:val="-4"/>
                <w:sz w:val="24"/>
                <w:szCs w:val="24"/>
              </w:rPr>
              <w:t>V/v</w:t>
            </w:r>
            <w:r>
              <w:rPr>
                <w:spacing w:val="-4"/>
                <w:sz w:val="24"/>
                <w:szCs w:val="24"/>
                <w:lang w:val="en-US"/>
              </w:rPr>
              <w:t xml:space="preserve"> thông báo ngừng lưu hành và sử dụng nhũ tương tiêm truyền Lipidem có thời gian sản xuất trên 12 tháng.</w:t>
            </w:r>
          </w:p>
        </w:tc>
        <w:tc>
          <w:tcPr>
            <w:tcW w:w="5670" w:type="dxa"/>
          </w:tcPr>
          <w:p>
            <w:pPr>
              <w:spacing w:before="120"/>
              <w:jc w:val="center"/>
              <w:rPr>
                <w:b/>
                <w:bCs/>
                <w:sz w:val="26"/>
                <w:szCs w:val="26"/>
              </w:rPr>
            </w:pPr>
            <w:r>
              <w:rPr>
                <w:i/>
                <w:sz w:val="28"/>
                <w:szCs w:val="28"/>
              </w:rPr>
              <w:t xml:space="preserve">       Điện Biên, ngày  </w:t>
            </w:r>
            <w:r>
              <w:rPr>
                <w:i/>
                <w:sz w:val="28"/>
                <w:szCs w:val="28"/>
                <w:lang w:val="en-US"/>
              </w:rPr>
              <w:t xml:space="preserve">  </w:t>
            </w:r>
            <w:r>
              <w:rPr>
                <w:i/>
                <w:sz w:val="28"/>
                <w:szCs w:val="28"/>
              </w:rPr>
              <w:t xml:space="preserve">   tháng </w:t>
            </w:r>
            <w:r>
              <w:rPr>
                <w:i/>
                <w:sz w:val="28"/>
                <w:szCs w:val="28"/>
                <w:lang w:val="en-US"/>
              </w:rPr>
              <w:t xml:space="preserve">10 </w:t>
            </w:r>
            <w:r>
              <w:rPr>
                <w:i/>
                <w:sz w:val="28"/>
                <w:szCs w:val="28"/>
              </w:rPr>
              <w:t>năm 2025</w:t>
            </w:r>
          </w:p>
        </w:tc>
      </w:tr>
    </w:tbl>
    <w:p>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tc>
          <w:tcPr>
            <w:tcW w:w="1559" w:type="dxa"/>
          </w:tcPr>
          <w:p>
            <w:pPr>
              <w:jc w:val="right"/>
              <w:rPr>
                <w:rFonts w:ascii="Times New Roman" w:hAnsi="Times New Roman"/>
                <w:spacing w:val="-4"/>
                <w:sz w:val="28"/>
                <w:szCs w:val="28"/>
              </w:rPr>
            </w:pPr>
            <w:r>
              <w:rPr>
                <w:rFonts w:ascii="Times New Roman" w:hAnsi="Times New Roman"/>
                <w:bCs/>
                <w:sz w:val="28"/>
                <w:szCs w:val="28"/>
              </w:rPr>
              <w:t xml:space="preserve">Kính gửi: </w:t>
            </w:r>
          </w:p>
        </w:tc>
        <w:tc>
          <w:tcPr>
            <w:tcW w:w="7127" w:type="dxa"/>
          </w:tcPr>
          <w:p>
            <w:pPr>
              <w:jc w:val="both"/>
              <w:rPr>
                <w:rFonts w:ascii="Times New Roman" w:hAnsi="Times New Roman"/>
                <w:spacing w:val="-4"/>
                <w:sz w:val="28"/>
                <w:szCs w:val="28"/>
              </w:rPr>
            </w:pPr>
          </w:p>
        </w:tc>
      </w:tr>
      <w:tr>
        <w:tc>
          <w:tcPr>
            <w:tcW w:w="1559" w:type="dxa"/>
          </w:tcPr>
          <w:p>
            <w:pPr>
              <w:jc w:val="both"/>
              <w:rPr>
                <w:rFonts w:ascii="Times New Roman" w:hAnsi="Times New Roman"/>
                <w:spacing w:val="-4"/>
                <w:sz w:val="28"/>
                <w:szCs w:val="28"/>
              </w:rPr>
            </w:pPr>
          </w:p>
        </w:tc>
        <w:tc>
          <w:tcPr>
            <w:tcW w:w="7127" w:type="dxa"/>
          </w:tcPr>
          <w:p>
            <w:pPr>
              <w:rPr>
                <w:rFonts w:ascii="Times New Roman" w:hAnsi="Times New Roman"/>
                <w:bCs/>
                <w:sz w:val="28"/>
                <w:szCs w:val="28"/>
                <w:lang w:val="en-US"/>
              </w:rPr>
            </w:pPr>
            <w:r>
              <w:rPr>
                <w:rFonts w:ascii="Times New Roman" w:hAnsi="Times New Roman"/>
                <w:bCs/>
                <w:sz w:val="28"/>
                <w:szCs w:val="28"/>
              </w:rPr>
              <w:t>- Các cơ sở khám, chữa bệnh</w:t>
            </w:r>
            <w:r>
              <w:rPr>
                <w:rFonts w:ascii="Times New Roman" w:hAnsi="Times New Roman"/>
                <w:bCs/>
                <w:sz w:val="28"/>
                <w:szCs w:val="28"/>
                <w:lang w:val="en-US"/>
              </w:rPr>
              <w:t>;</w:t>
            </w:r>
          </w:p>
        </w:tc>
      </w:tr>
      <w:tr>
        <w:tc>
          <w:tcPr>
            <w:tcW w:w="1559" w:type="dxa"/>
          </w:tcPr>
          <w:p>
            <w:pPr>
              <w:jc w:val="both"/>
              <w:rPr>
                <w:rFonts w:ascii="Times New Roman" w:hAnsi="Times New Roman"/>
                <w:spacing w:val="-4"/>
                <w:sz w:val="28"/>
                <w:szCs w:val="28"/>
              </w:rPr>
            </w:pPr>
          </w:p>
        </w:tc>
        <w:tc>
          <w:tcPr>
            <w:tcW w:w="7127" w:type="dxa"/>
          </w:tcPr>
          <w:p>
            <w:pPr>
              <w:jc w:val="both"/>
              <w:rPr>
                <w:rFonts w:ascii="Times New Roman" w:hAnsi="Times New Roman"/>
                <w:bCs/>
                <w:sz w:val="28"/>
                <w:szCs w:val="28"/>
              </w:rPr>
            </w:pPr>
            <w:r>
              <w:rPr>
                <w:rFonts w:ascii="Times New Roman" w:hAnsi="Times New Roman"/>
                <w:bCs/>
                <w:sz w:val="28"/>
                <w:szCs w:val="28"/>
                <w:lang w:val="en-US"/>
              </w:rPr>
              <w:t xml:space="preserve">- </w:t>
            </w:r>
            <w:r>
              <w:rPr>
                <w:rFonts w:ascii="Times New Roman" w:hAnsi="Times New Roman"/>
                <w:bCs/>
                <w:sz w:val="28"/>
                <w:szCs w:val="28"/>
              </w:rPr>
              <w:t>Trung tâm Kiểm nghiệm thuốc, mỹ phẩm, thực phẩm</w:t>
            </w:r>
            <w:r>
              <w:rPr>
                <w:rFonts w:ascii="Times New Roman" w:hAnsi="Times New Roman"/>
                <w:bCs/>
                <w:sz w:val="28"/>
                <w:szCs w:val="28"/>
                <w:lang w:val="en-US"/>
              </w:rPr>
              <w:t>;</w:t>
            </w:r>
          </w:p>
        </w:tc>
      </w:tr>
      <w:tr>
        <w:tc>
          <w:tcPr>
            <w:tcW w:w="1559" w:type="dxa"/>
          </w:tcPr>
          <w:p>
            <w:pPr>
              <w:jc w:val="both"/>
              <w:rPr>
                <w:rFonts w:ascii="Times New Roman" w:hAnsi="Times New Roman"/>
                <w:spacing w:val="-4"/>
                <w:sz w:val="28"/>
                <w:szCs w:val="28"/>
              </w:rPr>
            </w:pPr>
          </w:p>
        </w:tc>
        <w:tc>
          <w:tcPr>
            <w:tcW w:w="7127" w:type="dxa"/>
          </w:tcPr>
          <w:p>
            <w:pPr>
              <w:jc w:val="both"/>
              <w:rPr>
                <w:rFonts w:ascii="Times New Roman" w:hAnsi="Times New Roman"/>
                <w:bCs/>
                <w:sz w:val="28"/>
                <w:szCs w:val="28"/>
                <w:lang w:val="en-US"/>
              </w:rPr>
            </w:pPr>
            <w:r>
              <w:rPr>
                <w:rFonts w:ascii="Times New Roman" w:hAnsi="Times New Roman"/>
                <w:bCs/>
                <w:sz w:val="28"/>
                <w:szCs w:val="28"/>
                <w:lang w:val="en-US"/>
              </w:rPr>
              <w:t>- Trung tâm Kiểm soát bệnh tật;</w:t>
            </w:r>
          </w:p>
        </w:tc>
      </w:tr>
      <w:tr>
        <w:tc>
          <w:tcPr>
            <w:tcW w:w="1559" w:type="dxa"/>
          </w:tcPr>
          <w:p>
            <w:pPr>
              <w:jc w:val="both"/>
              <w:rPr>
                <w:rFonts w:ascii="Times New Roman" w:hAnsi="Times New Roman"/>
                <w:sz w:val="28"/>
                <w:szCs w:val="28"/>
              </w:rPr>
            </w:pPr>
          </w:p>
        </w:tc>
        <w:tc>
          <w:tcPr>
            <w:tcW w:w="7127" w:type="dxa"/>
          </w:tcPr>
          <w:p>
            <w:pPr>
              <w:jc w:val="both"/>
              <w:rPr>
                <w:rFonts w:ascii="Times New Roman" w:hAnsi="Times New Roman"/>
                <w:sz w:val="28"/>
                <w:szCs w:val="28"/>
              </w:rPr>
            </w:pPr>
            <w:r>
              <w:rPr>
                <w:rFonts w:ascii="Times New Roman" w:hAnsi="Times New Roman"/>
                <w:bCs/>
                <w:sz w:val="28"/>
                <w:szCs w:val="28"/>
              </w:rPr>
              <w:t xml:space="preserve">- UBND các </w:t>
            </w:r>
            <w:r>
              <w:rPr>
                <w:rFonts w:ascii="Times New Roman" w:hAnsi="Times New Roman"/>
                <w:bCs/>
                <w:sz w:val="28"/>
                <w:szCs w:val="28"/>
                <w:lang w:val="en-US"/>
              </w:rPr>
              <w:t>xã, phường</w:t>
            </w:r>
            <w:r>
              <w:rPr>
                <w:rFonts w:ascii="Times New Roman" w:hAnsi="Times New Roman"/>
                <w:bCs/>
                <w:sz w:val="28"/>
                <w:szCs w:val="28"/>
              </w:rPr>
              <w:t>.</w:t>
            </w:r>
          </w:p>
        </w:tc>
      </w:tr>
    </w:tbl>
    <w:p>
      <w:pPr>
        <w:spacing w:before="120" w:after="120"/>
        <w:ind w:firstLine="624"/>
        <w:jc w:val="both"/>
        <w:rPr>
          <w:szCs w:val="28"/>
        </w:rPr>
      </w:pPr>
    </w:p>
    <w:p>
      <w:pPr>
        <w:spacing w:before="120" w:after="120" w:line="276" w:lineRule="auto"/>
        <w:ind w:firstLine="624"/>
        <w:jc w:val="both"/>
        <w:rPr>
          <w:sz w:val="28"/>
          <w:szCs w:val="28"/>
        </w:rPr>
      </w:pPr>
      <w:r>
        <w:rPr>
          <w:sz w:val="28"/>
          <w:szCs w:val="28"/>
        </w:rPr>
        <w:tab/>
      </w:r>
      <w:r>
        <w:rPr>
          <w:sz w:val="28"/>
          <w:szCs w:val="28"/>
          <w:lang w:val="en-US"/>
        </w:rPr>
        <w:t>Thực hiện</w:t>
      </w:r>
      <w:r>
        <w:rPr>
          <w:sz w:val="28"/>
          <w:szCs w:val="28"/>
        </w:rPr>
        <w:t xml:space="preserve"> Công văn số </w:t>
      </w:r>
      <w:r>
        <w:rPr>
          <w:sz w:val="28"/>
          <w:szCs w:val="28"/>
          <w:lang w:val="en-US"/>
        </w:rPr>
        <w:t>2950/QLD-CL ngày 10/10/2025 của Cục Quản lý Dược - Bộ Y tế về việc</w:t>
      </w:r>
      <w:r>
        <w:rPr>
          <w:sz w:val="28"/>
          <w:szCs w:val="28"/>
        </w:rPr>
        <w:t xml:space="preserve"> dừng lưu hành và sử dụng nhũ</w:t>
      </w:r>
      <w:r>
        <w:rPr>
          <w:sz w:val="28"/>
          <w:szCs w:val="28"/>
          <w:lang w:val="en-US"/>
        </w:rPr>
        <w:t xml:space="preserve"> </w:t>
      </w:r>
      <w:r>
        <w:rPr>
          <w:sz w:val="28"/>
          <w:szCs w:val="28"/>
        </w:rPr>
        <w:t>tương tiêm truyền Lipidem có thời</w:t>
      </w:r>
      <w:r>
        <w:rPr>
          <w:sz w:val="28"/>
          <w:szCs w:val="28"/>
          <w:lang w:val="en-US"/>
        </w:rPr>
        <w:t xml:space="preserve"> </w:t>
      </w:r>
      <w:r>
        <w:rPr>
          <w:sz w:val="28"/>
          <w:szCs w:val="28"/>
        </w:rPr>
        <w:t xml:space="preserve">gian sản xuất trên 12 tháng </w:t>
      </w:r>
      <w:r>
        <w:rPr>
          <w:i/>
          <w:sz w:val="28"/>
          <w:szCs w:val="28"/>
          <w:lang w:val="en-US"/>
        </w:rPr>
        <w:t xml:space="preserve">(Công văn </w:t>
      </w:r>
      <w:r>
        <w:rPr>
          <w:i/>
          <w:sz w:val="28"/>
          <w:szCs w:val="28"/>
        </w:rPr>
        <w:t>số</w:t>
      </w:r>
      <w:r>
        <w:rPr>
          <w:i/>
          <w:sz w:val="28"/>
          <w:szCs w:val="28"/>
          <w:lang w:val="en-US"/>
        </w:rPr>
        <w:t xml:space="preserve"> 2950/QLD-CL đính kèm)</w:t>
      </w:r>
      <w:r>
        <w:rPr>
          <w:sz w:val="28"/>
          <w:szCs w:val="28"/>
          <w:lang w:val="en-US"/>
        </w:rPr>
        <w:t xml:space="preserve">. để đảm bảo chất lượng thuốc lưu thông trên địa bàn tỉnh, </w:t>
      </w:r>
      <w:r>
        <w:rPr>
          <w:sz w:val="28"/>
          <w:szCs w:val="28"/>
        </w:rPr>
        <w:t xml:space="preserve">Sở Y tế </w:t>
      </w:r>
      <w:r>
        <w:rPr>
          <w:sz w:val="28"/>
          <w:szCs w:val="28"/>
          <w:lang w:val="en-US"/>
        </w:rPr>
        <w:t>có ý kiến như</w:t>
      </w:r>
      <w:r>
        <w:rPr>
          <w:sz w:val="28"/>
          <w:szCs w:val="28"/>
        </w:rPr>
        <w:t xml:space="preserve"> sau:</w:t>
      </w:r>
    </w:p>
    <w:p>
      <w:pPr>
        <w:spacing w:before="120" w:after="120" w:line="276" w:lineRule="auto"/>
        <w:ind w:firstLine="624"/>
        <w:jc w:val="both"/>
        <w:rPr>
          <w:sz w:val="28"/>
          <w:szCs w:val="28"/>
          <w:lang w:val="en-US"/>
        </w:rPr>
      </w:pPr>
      <w:r>
        <w:rPr>
          <w:sz w:val="28"/>
          <w:szCs w:val="28"/>
        </w:rPr>
        <w:tab/>
      </w:r>
      <w:r>
        <w:rPr>
          <w:b/>
          <w:sz w:val="28"/>
          <w:szCs w:val="28"/>
          <w:lang w:val="en-US"/>
        </w:rPr>
        <w:t>1.</w:t>
      </w:r>
      <w:r>
        <w:rPr>
          <w:sz w:val="28"/>
          <w:szCs w:val="28"/>
          <w:lang w:val="en-US"/>
        </w:rPr>
        <w:t xml:space="preserve"> Các cơ sở khám, chữa bệnh trên địa bàn tỉnh, không sử dụng, cấp phát hoặc kê đơn</w:t>
      </w:r>
      <w:r>
        <w:rPr>
          <w:sz w:val="28"/>
          <w:szCs w:val="28"/>
        </w:rPr>
        <w:t xml:space="preserve"> thuốc </w:t>
      </w:r>
      <w:r>
        <w:rPr>
          <w:bCs/>
          <w:sz w:val="28"/>
          <w:szCs w:val="28"/>
        </w:rPr>
        <w:t>Nhũ tương tiêm truyền Lipidem</w:t>
      </w:r>
      <w:r>
        <w:rPr>
          <w:sz w:val="28"/>
          <w:szCs w:val="28"/>
        </w:rPr>
        <w:t xml:space="preserve"> (Medium-chain triglycerides 10g; Soya-bean oil, refined 8,0g; Omega-3-acid triglycerides 2,0g trong 100 ml), số giấy phép lưu hành </w:t>
      </w:r>
      <w:r>
        <w:rPr>
          <w:bCs/>
          <w:sz w:val="28"/>
          <w:szCs w:val="28"/>
        </w:rPr>
        <w:t>400110020223 (số ĐK cũ: VN-20656-17)</w:t>
      </w:r>
      <w:r>
        <w:rPr>
          <w:sz w:val="28"/>
          <w:szCs w:val="28"/>
        </w:rPr>
        <w:t xml:space="preserve">, do </w:t>
      </w:r>
      <w:r>
        <w:rPr>
          <w:bCs/>
          <w:sz w:val="28"/>
          <w:szCs w:val="28"/>
        </w:rPr>
        <w:t>B. Braun Melsungen AG (Đức)</w:t>
      </w:r>
      <w:r>
        <w:rPr>
          <w:sz w:val="28"/>
          <w:szCs w:val="28"/>
        </w:rPr>
        <w:t xml:space="preserve"> sản xuất, </w:t>
      </w:r>
      <w:r>
        <w:rPr>
          <w:bCs/>
          <w:sz w:val="28"/>
          <w:szCs w:val="28"/>
        </w:rPr>
        <w:t>Công ty TNHH B. Braun Việt Nam</w:t>
      </w:r>
      <w:r>
        <w:rPr>
          <w:sz w:val="28"/>
          <w:szCs w:val="28"/>
        </w:rPr>
        <w:t xml:space="preserve"> nhập khẩu </w:t>
      </w:r>
      <w:r>
        <w:rPr>
          <w:bCs/>
          <w:sz w:val="28"/>
          <w:szCs w:val="28"/>
        </w:rPr>
        <w:t>có thời gian sản xuất trên 12 tháng</w:t>
      </w:r>
      <w:r>
        <w:rPr>
          <w:sz w:val="28"/>
          <w:szCs w:val="28"/>
        </w:rPr>
        <w:t>.</w:t>
      </w:r>
      <w:r>
        <w:rPr>
          <w:sz w:val="28"/>
          <w:szCs w:val="28"/>
          <w:lang w:val="en-US"/>
        </w:rPr>
        <w:t xml:space="preserve"> Kiểm tra rà soát số lượng, niêm phong toàn bộ số thuốc Lipidem trên còn tồn trong kho (nếu có) và báo cáo kết quả kiểm tra, số lượng tồn, tình hình sử dụng (nếu có) và các biện pháp xử lý đã thực hiện về Sở Y tế (Phòng Nghiệp vụ Y - Dược);</w:t>
      </w:r>
    </w:p>
    <w:p>
      <w:pPr>
        <w:spacing w:before="120" w:after="120" w:line="276" w:lineRule="auto"/>
        <w:ind w:firstLine="624"/>
        <w:jc w:val="both"/>
        <w:rPr>
          <w:w w:val="105"/>
          <w:sz w:val="28"/>
          <w:szCs w:val="28"/>
          <w:lang w:val="en-US"/>
        </w:rPr>
      </w:pPr>
      <w:r>
        <w:rPr>
          <w:b/>
          <w:sz w:val="28"/>
          <w:szCs w:val="28"/>
          <w:lang w:val="en-US"/>
        </w:rPr>
        <w:t>2.</w:t>
      </w:r>
      <w:r>
        <w:rPr>
          <w:sz w:val="28"/>
          <w:szCs w:val="28"/>
          <w:lang w:val="en-US"/>
        </w:rPr>
        <w:t xml:space="preserve"> </w:t>
      </w:r>
      <w:r>
        <w:rPr>
          <w:w w:val="105"/>
          <w:sz w:val="28"/>
          <w:szCs w:val="28"/>
        </w:rPr>
        <w:t xml:space="preserve">Trung tâm Kiểm nghiệm thuốc, mỹ phẩm, thực phẩm tăng </w:t>
      </w:r>
      <w:r>
        <w:rPr>
          <w:sz w:val="28"/>
          <w:szCs w:val="28"/>
        </w:rPr>
        <w:t>cường lấy mẫu, kiểm tra chất lượng thuốc lưu hành trên địa bàn</w:t>
      </w:r>
      <w:r>
        <w:rPr>
          <w:sz w:val="28"/>
          <w:szCs w:val="28"/>
          <w:lang w:val="en-US"/>
        </w:rPr>
        <w:t>. Trường hợp phát hiện trên thị trường, cơ sở khám chữa bệnh có</w:t>
      </w:r>
      <w:r>
        <w:rPr>
          <w:sz w:val="28"/>
          <w:szCs w:val="28"/>
        </w:rPr>
        <w:t xml:space="preserve"> </w:t>
      </w:r>
      <w:r>
        <w:rPr>
          <w:sz w:val="28"/>
          <w:szCs w:val="28"/>
          <w:lang w:val="en-US"/>
        </w:rPr>
        <w:t>lô</w:t>
      </w:r>
      <w:r>
        <w:rPr>
          <w:sz w:val="28"/>
          <w:szCs w:val="28"/>
        </w:rPr>
        <w:t xml:space="preserve"> thuốc </w:t>
      </w:r>
      <w:r>
        <w:rPr>
          <w:sz w:val="28"/>
          <w:szCs w:val="28"/>
          <w:lang w:val="en-US"/>
        </w:rPr>
        <w:t>trên, lập tức b</w:t>
      </w:r>
      <w:r>
        <w:rPr>
          <w:w w:val="105"/>
          <w:sz w:val="28"/>
          <w:szCs w:val="28"/>
          <w:lang w:val="en-US"/>
        </w:rPr>
        <w:t>áo cáo kết quả kiểm nghiệm và các bất thường phát hiện về Sở Y tế để tổng hợp gửi Cục Quản lý Dược. Phối hợp với các cơ sở khám chữa bệnh trong công tác giám sát chất lượng thuốc.</w:t>
      </w:r>
    </w:p>
    <w:p>
      <w:pPr>
        <w:spacing w:before="120" w:after="120" w:line="276" w:lineRule="auto"/>
        <w:ind w:firstLine="624"/>
        <w:jc w:val="both"/>
        <w:rPr>
          <w:w w:val="105"/>
          <w:sz w:val="28"/>
          <w:szCs w:val="28"/>
          <w:lang w:val="en-US"/>
        </w:rPr>
      </w:pPr>
      <w:r>
        <w:rPr>
          <w:b/>
          <w:w w:val="105"/>
          <w:sz w:val="28"/>
          <w:szCs w:val="28"/>
          <w:lang w:val="en-US"/>
        </w:rPr>
        <w:t>3.</w:t>
      </w:r>
      <w:r>
        <w:rPr>
          <w:w w:val="105"/>
          <w:sz w:val="28"/>
          <w:szCs w:val="28"/>
          <w:lang w:val="en-US"/>
        </w:rPr>
        <w:t xml:space="preserve"> Trung tâm kiểm soát bệnh tật tăng cường công tác giám sát, tuyên truyền và khuyến cáo người dân trên đại bàn tỉnh không tự ý mua, sử dụng thuốc nhũ tương tiêm truyền Lipidem; nếu phát hiện sản phẩm nghi ngờ, cần thông báo ngay cho cơ sở y tế hoặc Sở Y tế để được hướng dẫn xử lý.</w:t>
      </w:r>
    </w:p>
    <w:p>
      <w:pPr>
        <w:spacing w:before="120" w:after="120" w:line="276" w:lineRule="auto"/>
        <w:ind w:firstLine="624"/>
        <w:jc w:val="both"/>
        <w:rPr>
          <w:sz w:val="28"/>
          <w:szCs w:val="28"/>
          <w:lang w:val="en-US"/>
        </w:rPr>
      </w:pPr>
      <w:r>
        <w:rPr>
          <w:b/>
          <w:sz w:val="28"/>
          <w:szCs w:val="28"/>
          <w:lang w:val="en-US"/>
        </w:rPr>
        <w:lastRenderedPageBreak/>
        <w:t>4</w:t>
      </w:r>
      <w:r>
        <w:rPr>
          <w:b/>
          <w:w w:val="105"/>
          <w:sz w:val="28"/>
          <w:szCs w:val="28"/>
          <w:lang w:val="en-US"/>
        </w:rPr>
        <w:t>.</w:t>
      </w:r>
      <w:r>
        <w:rPr>
          <w:w w:val="105"/>
          <w:sz w:val="28"/>
          <w:szCs w:val="28"/>
          <w:lang w:val="en-US"/>
        </w:rPr>
        <w:t xml:space="preserve"> Đề nghị UBND các phường, xã chỉ đạo Phòng Văn hoá - Xã hội thông báo thuốc Lipidem trên đến các cơ sở kinh doanh dược trên địa bàn quản lý</w:t>
      </w:r>
      <w:r>
        <w:rPr>
          <w:sz w:val="28"/>
          <w:szCs w:val="28"/>
          <w:lang w:val="en-US"/>
        </w:rPr>
        <w:t>; Ngừng lưu thông và buôn bán các lô thuốc Lipidem đã sản xuất trên 12 tháng</w:t>
      </w:r>
      <w:r>
        <w:rPr>
          <w:w w:val="105"/>
          <w:sz w:val="28"/>
          <w:szCs w:val="28"/>
          <w:lang w:val="en-US"/>
        </w:rPr>
        <w:t>. Nếu phát hiện xử lý vi phạm theo thẩm quyền, đúng quy định của pháp luật; báo cáo Sở Y tế theo quy định.</w:t>
      </w:r>
    </w:p>
    <w:p>
      <w:pPr>
        <w:spacing w:before="120" w:after="120" w:line="276" w:lineRule="auto"/>
        <w:ind w:firstLine="624"/>
        <w:jc w:val="both"/>
        <w:rPr>
          <w:w w:val="105"/>
          <w:sz w:val="28"/>
          <w:szCs w:val="28"/>
          <w:lang w:val="en-US"/>
        </w:rPr>
      </w:pPr>
      <w:r>
        <w:rPr>
          <w:w w:val="105"/>
          <w:sz w:val="28"/>
          <w:szCs w:val="28"/>
          <w:lang w:val="en-US"/>
        </w:rPr>
        <w:tab/>
        <w:t>Nhận được Văn bản này, các cơ sở, đơn vị phối hợp triển khai thực hiện đảm bảo nội dung theo yêu cầu./.</w:t>
      </w:r>
    </w:p>
    <w:p>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trPr>
          <w:trHeight w:val="709"/>
        </w:trPr>
        <w:tc>
          <w:tcPr>
            <w:tcW w:w="4509" w:type="dxa"/>
          </w:tcPr>
          <w:p>
            <w:pPr>
              <w:rPr>
                <w:i/>
                <w:sz w:val="24"/>
                <w:szCs w:val="24"/>
              </w:rPr>
            </w:pPr>
            <w:r>
              <w:rPr>
                <w:b/>
                <w:bCs/>
                <w:i/>
                <w:iCs/>
                <w:sz w:val="24"/>
                <w:szCs w:val="24"/>
              </w:rPr>
              <w:t>Nơi nhận:</w:t>
            </w:r>
            <w:r>
              <w:rPr>
                <w:i/>
                <w:sz w:val="24"/>
                <w:szCs w:val="24"/>
              </w:rPr>
              <w:t xml:space="preserve">                                               </w:t>
            </w:r>
          </w:p>
          <w:p>
            <w:pPr>
              <w:rPr>
                <w:i/>
                <w:sz w:val="24"/>
                <w:szCs w:val="24"/>
              </w:rPr>
            </w:pPr>
            <w:r>
              <w:t xml:space="preserve">- </w:t>
            </w:r>
            <w:r>
              <w:rPr>
                <w:iCs/>
              </w:rPr>
              <w:t>Như trên</w:t>
            </w:r>
            <w:r>
              <w:t>;</w:t>
            </w:r>
          </w:p>
          <w:p>
            <w:r>
              <w:t>- Lãnh đạo Sở Y tế;</w:t>
            </w:r>
          </w:p>
          <w:p>
            <w:r>
              <w:t xml:space="preserve">- </w:t>
            </w:r>
            <w:r>
              <w:rPr>
                <w:lang w:val="en-US"/>
              </w:rPr>
              <w:t>Các phòng chức năng</w:t>
            </w:r>
            <w:r>
              <w:t xml:space="preserve"> Sở Y tế;</w:t>
            </w:r>
          </w:p>
          <w:p>
            <w:r>
              <w:t>- Website Sở Y tế;</w:t>
            </w:r>
          </w:p>
          <w:p>
            <w:pPr>
              <w:rPr>
                <w:sz w:val="20"/>
              </w:rPr>
            </w:pPr>
            <w:r>
              <w:t>- Lưu VT, NVYD.</w:t>
            </w:r>
          </w:p>
        </w:tc>
        <w:tc>
          <w:tcPr>
            <w:tcW w:w="4886" w:type="dxa"/>
          </w:tcPr>
          <w:p>
            <w:pPr>
              <w:pStyle w:val="Chun"/>
              <w:jc w:val="center"/>
              <w:rPr>
                <w:rFonts w:ascii="Times New Roman" w:hAnsi="Times New Roman"/>
                <w:b/>
                <w:bCs/>
                <w:sz w:val="26"/>
                <w:szCs w:val="26"/>
              </w:rPr>
            </w:pPr>
            <w:r>
              <w:rPr>
                <w:rFonts w:ascii="Times New Roman" w:hAnsi="Times New Roman"/>
                <w:b/>
                <w:bCs/>
                <w:sz w:val="26"/>
                <w:szCs w:val="26"/>
              </w:rPr>
              <w:t xml:space="preserve">KT. </w:t>
            </w:r>
            <w:r>
              <w:rPr>
                <w:rFonts w:ascii="Times New Roman" w:hAnsi="Times New Roman"/>
                <w:b/>
                <w:bCs/>
                <w:sz w:val="26"/>
                <w:szCs w:val="26"/>
                <w:lang w:val="vi-VN"/>
              </w:rPr>
              <w:t>GIÁM ĐỐC</w:t>
            </w:r>
          </w:p>
          <w:p>
            <w:pPr>
              <w:pStyle w:val="Chun"/>
              <w:jc w:val="center"/>
              <w:rPr>
                <w:rFonts w:ascii="Times New Roman" w:hAnsi="Times New Roman"/>
                <w:bCs/>
                <w:iCs/>
                <w:sz w:val="26"/>
                <w:szCs w:val="26"/>
              </w:rPr>
            </w:pPr>
            <w:r>
              <w:rPr>
                <w:rFonts w:ascii="Times New Roman" w:hAnsi="Times New Roman"/>
                <w:b/>
                <w:bCs/>
                <w:sz w:val="26"/>
                <w:szCs w:val="26"/>
              </w:rPr>
              <w:t>PHÓ GIÁM ĐỐC</w:t>
            </w:r>
          </w:p>
          <w:p>
            <w:pPr>
              <w:jc w:val="center"/>
              <w:rPr>
                <w:b/>
                <w:bCs/>
                <w:sz w:val="52"/>
                <w:szCs w:val="50"/>
              </w:rPr>
            </w:pPr>
          </w:p>
          <w:p>
            <w:pPr>
              <w:jc w:val="center"/>
              <w:rPr>
                <w:b/>
                <w:bCs/>
                <w:sz w:val="26"/>
                <w:szCs w:val="24"/>
              </w:rPr>
            </w:pPr>
          </w:p>
          <w:p>
            <w:pPr>
              <w:jc w:val="center"/>
              <w:rPr>
                <w:b/>
                <w:bCs/>
                <w:sz w:val="28"/>
                <w:szCs w:val="24"/>
              </w:rPr>
            </w:pPr>
          </w:p>
          <w:p>
            <w:pPr>
              <w:jc w:val="center"/>
              <w:rPr>
                <w:b/>
                <w:bCs/>
                <w:sz w:val="28"/>
                <w:szCs w:val="24"/>
              </w:rPr>
            </w:pPr>
            <w:bookmarkStart w:id="0" w:name="_GoBack"/>
            <w:bookmarkEnd w:id="0"/>
          </w:p>
          <w:p>
            <w:pPr>
              <w:jc w:val="center"/>
              <w:rPr>
                <w:b/>
                <w:bCs/>
                <w:sz w:val="26"/>
                <w:szCs w:val="24"/>
              </w:rPr>
            </w:pPr>
          </w:p>
          <w:p>
            <w:pPr>
              <w:jc w:val="center"/>
              <w:rPr>
                <w:b/>
                <w:bCs/>
                <w:sz w:val="26"/>
                <w:szCs w:val="24"/>
              </w:rPr>
            </w:pPr>
          </w:p>
          <w:p>
            <w:pPr>
              <w:jc w:val="center"/>
              <w:rPr>
                <w:b/>
                <w:sz w:val="26"/>
                <w:szCs w:val="26"/>
              </w:rPr>
            </w:pPr>
            <w:r>
              <w:rPr>
                <w:b/>
                <w:bCs/>
                <w:iCs/>
                <w:sz w:val="26"/>
                <w:szCs w:val="26"/>
              </w:rPr>
              <w:t>Phạm Văn Mẫn</w:t>
            </w:r>
            <w:r>
              <w:rPr>
                <w:b/>
                <w:sz w:val="26"/>
                <w:szCs w:val="26"/>
              </w:rPr>
              <w:t xml:space="preserve"> </w:t>
            </w:r>
          </w:p>
        </w:tc>
      </w:tr>
    </w:tbl>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pPr>
    </w:p>
    <w:p>
      <w:pPr>
        <w:jc w:val="center"/>
        <w:rPr>
          <w:sz w:val="28"/>
          <w:szCs w:val="28"/>
          <w:lang w:val="en-US"/>
        </w:rPr>
        <w:sectPr>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pPr>
    </w:p>
    <w:p>
      <w:pPr>
        <w:jc w:val="center"/>
        <w:rPr>
          <w:b/>
          <w:sz w:val="28"/>
          <w:szCs w:val="28"/>
          <w:lang w:val="en-US"/>
        </w:rPr>
      </w:pPr>
      <w:r>
        <w:rPr>
          <w:b/>
          <w:sz w:val="28"/>
          <w:szCs w:val="28"/>
          <w:lang w:val="en-US"/>
        </w:rPr>
        <w:lastRenderedPageBreak/>
        <w:t>PHỤ LỤC: DANH SÁCH THUỐC CÓ DẤU HIỆU GIẢ MẠO</w:t>
      </w:r>
    </w:p>
    <w:p>
      <w:pPr>
        <w:jc w:val="center"/>
        <w:rPr>
          <w:i/>
          <w:sz w:val="26"/>
          <w:szCs w:val="26"/>
          <w:lang w:val="en-US"/>
        </w:rPr>
      </w:pPr>
      <w:r>
        <w:rPr>
          <w:i/>
          <w:sz w:val="28"/>
          <w:szCs w:val="28"/>
          <w:lang w:val="en-US"/>
        </w:rPr>
        <w:t xml:space="preserve">(Kèm theo công văn số </w:t>
      </w:r>
      <w:r>
        <w:rPr>
          <w:i/>
          <w:sz w:val="26"/>
          <w:szCs w:val="26"/>
          <w:lang w:val="en-US"/>
        </w:rPr>
        <w:t xml:space="preserve"> </w:t>
      </w:r>
      <w:r>
        <w:rPr>
          <w:i/>
          <w:sz w:val="26"/>
          <w:szCs w:val="26"/>
        </w:rPr>
        <w:t xml:space="preserve">     </w:t>
      </w:r>
      <w:r>
        <w:rPr>
          <w:i/>
          <w:sz w:val="26"/>
          <w:szCs w:val="26"/>
          <w:lang w:val="en-US"/>
        </w:rPr>
        <w:t xml:space="preserve"> </w:t>
      </w:r>
      <w:r>
        <w:rPr>
          <w:i/>
          <w:sz w:val="26"/>
          <w:szCs w:val="26"/>
        </w:rPr>
        <w:t xml:space="preserve"> </w:t>
      </w:r>
      <w:r>
        <w:rPr>
          <w:i/>
          <w:sz w:val="26"/>
          <w:szCs w:val="26"/>
          <w:lang w:val="en-US"/>
        </w:rPr>
        <w:t xml:space="preserve">       </w:t>
      </w:r>
      <w:r>
        <w:rPr>
          <w:i/>
          <w:sz w:val="26"/>
          <w:szCs w:val="26"/>
        </w:rPr>
        <w:t xml:space="preserve">   /SYT-NVYD</w:t>
      </w:r>
      <w:r>
        <w:rPr>
          <w:i/>
          <w:sz w:val="26"/>
          <w:szCs w:val="26"/>
          <w:lang w:val="en-US"/>
        </w:rPr>
        <w:t xml:space="preserve"> ngày         tháng 9 năm 2025)</w:t>
      </w:r>
    </w:p>
    <w:tbl>
      <w:tblPr>
        <w:tblStyle w:val="TableGrid"/>
        <w:tblW w:w="13750" w:type="dxa"/>
        <w:tblInd w:w="-318" w:type="dxa"/>
        <w:tblLook w:val="04A0" w:firstRow="1" w:lastRow="0" w:firstColumn="1" w:lastColumn="0" w:noHBand="0" w:noVBand="1"/>
      </w:tblPr>
      <w:tblGrid>
        <w:gridCol w:w="675"/>
        <w:gridCol w:w="3402"/>
        <w:gridCol w:w="1841"/>
        <w:gridCol w:w="1203"/>
        <w:gridCol w:w="1310"/>
        <w:gridCol w:w="1490"/>
        <w:gridCol w:w="2275"/>
        <w:gridCol w:w="1554"/>
      </w:tblGrid>
      <w:tr>
        <w:tc>
          <w:tcPr>
            <w:tcW w:w="675" w:type="dxa"/>
            <w:vAlign w:val="center"/>
          </w:tcPr>
          <w:p>
            <w:pPr>
              <w:jc w:val="center"/>
              <w:rPr>
                <w:rFonts w:ascii="Times New Roman" w:hAnsi="Times New Roman"/>
                <w:b/>
                <w:sz w:val="24"/>
                <w:szCs w:val="24"/>
                <w:lang w:val="en-US"/>
              </w:rPr>
            </w:pPr>
            <w:r>
              <w:rPr>
                <w:rFonts w:ascii="Times New Roman" w:hAnsi="Times New Roman"/>
                <w:b/>
                <w:sz w:val="24"/>
                <w:szCs w:val="24"/>
                <w:lang w:val="en-US"/>
              </w:rPr>
              <w:t>STT</w:t>
            </w:r>
          </w:p>
        </w:tc>
        <w:tc>
          <w:tcPr>
            <w:tcW w:w="3402" w:type="dxa"/>
            <w:vAlign w:val="center"/>
          </w:tcPr>
          <w:p>
            <w:pPr>
              <w:jc w:val="center"/>
              <w:rPr>
                <w:rFonts w:ascii="Times New Roman" w:hAnsi="Times New Roman"/>
                <w:b/>
                <w:sz w:val="24"/>
                <w:szCs w:val="24"/>
                <w:lang w:val="en-US"/>
              </w:rPr>
            </w:pPr>
            <w:r>
              <w:rPr>
                <w:rFonts w:ascii="Times New Roman" w:hAnsi="Times New Roman"/>
                <w:b/>
                <w:sz w:val="24"/>
                <w:szCs w:val="24"/>
                <w:lang w:val="en-US"/>
              </w:rPr>
              <w:t>Tên thuốc, nồng độ/hàm lượng</w:t>
            </w:r>
          </w:p>
        </w:tc>
        <w:tc>
          <w:tcPr>
            <w:tcW w:w="1841" w:type="dxa"/>
            <w:vAlign w:val="center"/>
          </w:tcPr>
          <w:p>
            <w:pPr>
              <w:jc w:val="center"/>
              <w:rPr>
                <w:rFonts w:ascii="Times New Roman" w:hAnsi="Times New Roman"/>
                <w:b/>
                <w:sz w:val="24"/>
                <w:szCs w:val="24"/>
                <w:lang w:val="en-US"/>
              </w:rPr>
            </w:pPr>
            <w:r>
              <w:rPr>
                <w:rFonts w:ascii="Times New Roman" w:hAnsi="Times New Roman"/>
                <w:b/>
                <w:sz w:val="24"/>
                <w:szCs w:val="24"/>
                <w:lang w:val="en-US"/>
              </w:rPr>
              <w:t>Số đăng ký</w:t>
            </w:r>
          </w:p>
        </w:tc>
        <w:tc>
          <w:tcPr>
            <w:tcW w:w="1203" w:type="dxa"/>
            <w:vAlign w:val="center"/>
          </w:tcPr>
          <w:p>
            <w:pPr>
              <w:jc w:val="center"/>
              <w:rPr>
                <w:rFonts w:ascii="Times New Roman" w:hAnsi="Times New Roman"/>
                <w:b/>
                <w:sz w:val="24"/>
                <w:szCs w:val="24"/>
                <w:lang w:val="en-US"/>
              </w:rPr>
            </w:pPr>
            <w:r>
              <w:rPr>
                <w:rFonts w:ascii="Times New Roman" w:hAnsi="Times New Roman"/>
                <w:b/>
                <w:sz w:val="24"/>
                <w:szCs w:val="24"/>
                <w:lang w:val="en-US"/>
              </w:rPr>
              <w:t>Số lô</w:t>
            </w:r>
          </w:p>
        </w:tc>
        <w:tc>
          <w:tcPr>
            <w:tcW w:w="1310" w:type="dxa"/>
            <w:vAlign w:val="center"/>
          </w:tcPr>
          <w:p>
            <w:pPr>
              <w:jc w:val="center"/>
              <w:rPr>
                <w:rFonts w:ascii="Times New Roman" w:hAnsi="Times New Roman"/>
                <w:b/>
                <w:sz w:val="24"/>
                <w:szCs w:val="24"/>
                <w:lang w:val="en-US"/>
              </w:rPr>
            </w:pPr>
            <w:r>
              <w:rPr>
                <w:rFonts w:ascii="Times New Roman" w:hAnsi="Times New Roman"/>
                <w:b/>
                <w:sz w:val="24"/>
                <w:szCs w:val="24"/>
                <w:lang w:val="en-US"/>
              </w:rPr>
              <w:t>Ngày sản xuất</w:t>
            </w:r>
          </w:p>
        </w:tc>
        <w:tc>
          <w:tcPr>
            <w:tcW w:w="1490" w:type="dxa"/>
            <w:vAlign w:val="center"/>
          </w:tcPr>
          <w:p>
            <w:pPr>
              <w:jc w:val="center"/>
              <w:rPr>
                <w:rFonts w:ascii="Times New Roman" w:hAnsi="Times New Roman"/>
                <w:b/>
                <w:sz w:val="24"/>
                <w:szCs w:val="24"/>
                <w:lang w:val="en-US"/>
              </w:rPr>
            </w:pPr>
            <w:r>
              <w:rPr>
                <w:rFonts w:ascii="Times New Roman" w:hAnsi="Times New Roman"/>
                <w:b/>
                <w:sz w:val="24"/>
                <w:szCs w:val="24"/>
                <w:lang w:val="en-US"/>
              </w:rPr>
              <w:t>Hạn dùng</w:t>
            </w:r>
          </w:p>
        </w:tc>
        <w:tc>
          <w:tcPr>
            <w:tcW w:w="2275" w:type="dxa"/>
            <w:vAlign w:val="center"/>
          </w:tcPr>
          <w:p>
            <w:pPr>
              <w:jc w:val="center"/>
              <w:rPr>
                <w:rFonts w:ascii="Times New Roman" w:hAnsi="Times New Roman"/>
                <w:b/>
                <w:sz w:val="24"/>
                <w:szCs w:val="24"/>
                <w:lang w:val="en-US"/>
              </w:rPr>
            </w:pPr>
            <w:r>
              <w:rPr>
                <w:rFonts w:ascii="Times New Roman" w:hAnsi="Times New Roman"/>
                <w:b/>
                <w:sz w:val="24"/>
                <w:szCs w:val="24"/>
                <w:lang w:val="en-US"/>
              </w:rPr>
              <w:t>Cơ sở sản xuất</w:t>
            </w:r>
          </w:p>
        </w:tc>
        <w:tc>
          <w:tcPr>
            <w:tcW w:w="1554" w:type="dxa"/>
            <w:vAlign w:val="center"/>
          </w:tcPr>
          <w:p>
            <w:pPr>
              <w:jc w:val="center"/>
              <w:rPr>
                <w:rFonts w:ascii="Times New Roman" w:hAnsi="Times New Roman"/>
                <w:b/>
                <w:sz w:val="24"/>
                <w:szCs w:val="24"/>
                <w:lang w:val="en-US"/>
              </w:rPr>
            </w:pPr>
            <w:r>
              <w:rPr>
                <w:rFonts w:ascii="Times New Roman" w:hAnsi="Times New Roman"/>
                <w:b/>
                <w:sz w:val="24"/>
                <w:szCs w:val="24"/>
                <w:lang w:val="en-US"/>
              </w:rPr>
              <w:t>Ghi chú</w:t>
            </w:r>
          </w:p>
        </w:tc>
      </w:tr>
      <w:tr>
        <w:tc>
          <w:tcPr>
            <w:tcW w:w="675" w:type="dxa"/>
            <w:vAlign w:val="center"/>
          </w:tcPr>
          <w:p>
            <w:pPr>
              <w:jc w:val="center"/>
              <w:rPr>
                <w:rFonts w:ascii="Times New Roman" w:hAnsi="Times New Roman"/>
                <w:sz w:val="24"/>
                <w:szCs w:val="24"/>
                <w:lang w:val="en-US"/>
              </w:rPr>
            </w:pPr>
            <w:r>
              <w:rPr>
                <w:rFonts w:ascii="Times New Roman" w:hAnsi="Times New Roman"/>
                <w:sz w:val="24"/>
                <w:szCs w:val="24"/>
                <w:lang w:val="en-US"/>
              </w:rPr>
              <w:t>1</w:t>
            </w:r>
          </w:p>
        </w:tc>
        <w:tc>
          <w:tcPr>
            <w:tcW w:w="3402" w:type="dxa"/>
            <w:vAlign w:val="center"/>
          </w:tcPr>
          <w:p>
            <w:pPr>
              <w:jc w:val="center"/>
              <w:rPr>
                <w:rFonts w:ascii="Times New Roman" w:hAnsi="Times New Roman"/>
                <w:sz w:val="24"/>
                <w:szCs w:val="24"/>
                <w:lang w:val="en-US"/>
              </w:rPr>
            </w:pPr>
            <w:r>
              <w:rPr>
                <w:rFonts w:ascii="Times New Roman" w:hAnsi="Times New Roman"/>
                <w:sz w:val="24"/>
                <w:szCs w:val="24"/>
                <w:lang w:val="en-US"/>
              </w:rPr>
              <w:t xml:space="preserve">TOBREX </w:t>
            </w:r>
            <w:r>
              <w:rPr>
                <w:rFonts w:ascii="Times New Roman" w:hAnsi="Times New Roman"/>
                <w:sz w:val="24"/>
                <w:szCs w:val="24"/>
                <w:vertAlign w:val="superscript"/>
                <w:lang w:val="en-US"/>
              </w:rPr>
              <w:t xml:space="preserve">® </w:t>
            </w:r>
            <w:r>
              <w:rPr>
                <w:rFonts w:ascii="Times New Roman" w:hAnsi="Times New Roman"/>
                <w:sz w:val="24"/>
                <w:szCs w:val="24"/>
                <w:lang w:val="en-US"/>
              </w:rPr>
              <w:t>5ml (Tobramycin 3 mg/ml)</w:t>
            </w:r>
          </w:p>
        </w:tc>
        <w:tc>
          <w:tcPr>
            <w:tcW w:w="1841" w:type="dxa"/>
            <w:vAlign w:val="center"/>
          </w:tcPr>
          <w:p>
            <w:pPr>
              <w:jc w:val="center"/>
              <w:rPr>
                <w:rFonts w:ascii="Times New Roman" w:hAnsi="Times New Roman"/>
                <w:sz w:val="24"/>
                <w:szCs w:val="24"/>
                <w:lang w:val="en-US"/>
              </w:rPr>
            </w:pPr>
            <w:r>
              <w:rPr>
                <w:rFonts w:ascii="Times New Roman" w:hAnsi="Times New Roman"/>
                <w:sz w:val="24"/>
                <w:szCs w:val="24"/>
                <w:lang w:val="en-US"/>
              </w:rPr>
              <w:t>VN-19385-15</w:t>
            </w:r>
          </w:p>
        </w:tc>
        <w:tc>
          <w:tcPr>
            <w:tcW w:w="1203" w:type="dxa"/>
            <w:vAlign w:val="center"/>
          </w:tcPr>
          <w:p>
            <w:pPr>
              <w:jc w:val="center"/>
              <w:rPr>
                <w:rFonts w:ascii="Times New Roman" w:hAnsi="Times New Roman"/>
                <w:sz w:val="24"/>
                <w:szCs w:val="24"/>
              </w:rPr>
            </w:pPr>
            <w:r>
              <w:rPr>
                <w:rFonts w:ascii="Times New Roman" w:hAnsi="Times New Roman"/>
                <w:sz w:val="24"/>
                <w:szCs w:val="24"/>
                <w:lang w:val="en-US"/>
              </w:rPr>
              <w:t>VEE90A</w:t>
            </w:r>
          </w:p>
          <w:p>
            <w:pPr>
              <w:jc w:val="center"/>
              <w:rPr>
                <w:rFonts w:ascii="Times New Roman" w:hAnsi="Times New Roman"/>
                <w:sz w:val="24"/>
                <w:szCs w:val="24"/>
                <w:lang w:val="en-US"/>
              </w:rPr>
            </w:pPr>
            <w:r>
              <w:rPr>
                <w:rFonts w:ascii="Times New Roman" w:hAnsi="Times New Roman"/>
                <w:sz w:val="24"/>
                <w:szCs w:val="24"/>
                <w:lang w:val="en-US"/>
              </w:rPr>
              <w:t>VEE98C</w:t>
            </w:r>
          </w:p>
        </w:tc>
        <w:tc>
          <w:tcPr>
            <w:tcW w:w="1310" w:type="dxa"/>
            <w:vAlign w:val="center"/>
          </w:tcPr>
          <w:p>
            <w:pPr>
              <w:jc w:val="center"/>
              <w:rPr>
                <w:rFonts w:ascii="Times New Roman" w:hAnsi="Times New Roman"/>
                <w:sz w:val="24"/>
                <w:szCs w:val="24"/>
                <w:lang w:val="en-US"/>
              </w:rPr>
            </w:pPr>
            <w:r>
              <w:rPr>
                <w:rFonts w:ascii="Times New Roman" w:hAnsi="Times New Roman"/>
                <w:sz w:val="24"/>
                <w:szCs w:val="24"/>
                <w:lang w:val="en-US"/>
              </w:rPr>
              <w:t>11/02/2024</w:t>
            </w:r>
          </w:p>
          <w:p>
            <w:pPr>
              <w:jc w:val="center"/>
              <w:rPr>
                <w:rFonts w:ascii="Times New Roman" w:hAnsi="Times New Roman"/>
                <w:sz w:val="24"/>
                <w:szCs w:val="24"/>
                <w:lang w:val="en-US"/>
              </w:rPr>
            </w:pPr>
            <w:r>
              <w:rPr>
                <w:rFonts w:ascii="Times New Roman" w:hAnsi="Times New Roman"/>
                <w:sz w:val="24"/>
                <w:szCs w:val="24"/>
                <w:lang w:val="en-US"/>
              </w:rPr>
              <w:t>13/02/2024</w:t>
            </w:r>
          </w:p>
        </w:tc>
        <w:tc>
          <w:tcPr>
            <w:tcW w:w="1490" w:type="dxa"/>
            <w:vAlign w:val="center"/>
          </w:tcPr>
          <w:p>
            <w:pPr>
              <w:jc w:val="center"/>
              <w:rPr>
                <w:rFonts w:ascii="Times New Roman" w:hAnsi="Times New Roman"/>
                <w:sz w:val="24"/>
                <w:szCs w:val="24"/>
                <w:lang w:val="en-US"/>
              </w:rPr>
            </w:pPr>
            <w:r>
              <w:rPr>
                <w:rFonts w:ascii="Times New Roman" w:hAnsi="Times New Roman"/>
                <w:sz w:val="24"/>
                <w:szCs w:val="24"/>
                <w:lang w:val="en-US"/>
              </w:rPr>
              <w:t>11/02/2027</w:t>
            </w:r>
          </w:p>
          <w:p>
            <w:pPr>
              <w:jc w:val="center"/>
              <w:rPr>
                <w:rFonts w:ascii="Times New Roman" w:hAnsi="Times New Roman"/>
                <w:sz w:val="24"/>
                <w:szCs w:val="24"/>
                <w:lang w:val="en-US"/>
              </w:rPr>
            </w:pPr>
            <w:r>
              <w:rPr>
                <w:rFonts w:ascii="Times New Roman" w:hAnsi="Times New Roman"/>
                <w:sz w:val="24"/>
                <w:szCs w:val="24"/>
                <w:lang w:val="en-US"/>
              </w:rPr>
              <w:t>13/02/2027</w:t>
            </w:r>
          </w:p>
        </w:tc>
        <w:tc>
          <w:tcPr>
            <w:tcW w:w="2275" w:type="dxa"/>
            <w:vAlign w:val="center"/>
          </w:tcPr>
          <w:p>
            <w:pPr>
              <w:jc w:val="center"/>
              <w:rPr>
                <w:rFonts w:ascii="Times New Roman" w:hAnsi="Times New Roman"/>
                <w:sz w:val="24"/>
                <w:szCs w:val="24"/>
                <w:lang w:val="en-US"/>
              </w:rPr>
            </w:pPr>
            <w:r>
              <w:rPr>
                <w:rFonts w:ascii="Times New Roman" w:hAnsi="Times New Roman"/>
                <w:sz w:val="24"/>
                <w:szCs w:val="24"/>
                <w:lang w:val="en-US"/>
              </w:rPr>
              <w:t>S.A ALCON-COUVREUR N.V (Rijksweg 14, 2870 Puurs. Belgium - Bỉ)</w:t>
            </w:r>
          </w:p>
        </w:tc>
        <w:tc>
          <w:tcPr>
            <w:tcW w:w="1554" w:type="dxa"/>
            <w:vAlign w:val="center"/>
          </w:tcPr>
          <w:p>
            <w:pPr>
              <w:jc w:val="center"/>
              <w:rPr>
                <w:rFonts w:ascii="Times New Roman" w:hAnsi="Times New Roman"/>
                <w:sz w:val="24"/>
                <w:szCs w:val="24"/>
                <w:lang w:val="en-US"/>
              </w:rPr>
            </w:pPr>
          </w:p>
        </w:tc>
      </w:tr>
      <w:tr>
        <w:tc>
          <w:tcPr>
            <w:tcW w:w="675" w:type="dxa"/>
            <w:vAlign w:val="center"/>
          </w:tcPr>
          <w:p>
            <w:pPr>
              <w:jc w:val="center"/>
              <w:rPr>
                <w:rFonts w:ascii="Times New Roman" w:hAnsi="Times New Roman"/>
                <w:sz w:val="24"/>
                <w:szCs w:val="24"/>
                <w:lang w:val="en-US"/>
              </w:rPr>
            </w:pPr>
            <w:r>
              <w:rPr>
                <w:rFonts w:ascii="Times New Roman" w:hAnsi="Times New Roman"/>
                <w:sz w:val="24"/>
                <w:szCs w:val="24"/>
                <w:lang w:val="en-US"/>
              </w:rPr>
              <w:t>2</w:t>
            </w:r>
          </w:p>
        </w:tc>
        <w:tc>
          <w:tcPr>
            <w:tcW w:w="3402" w:type="dxa"/>
            <w:vAlign w:val="center"/>
          </w:tcPr>
          <w:p>
            <w:pPr>
              <w:jc w:val="center"/>
              <w:rPr>
                <w:rFonts w:ascii="Times New Roman" w:hAnsi="Times New Roman"/>
                <w:sz w:val="24"/>
                <w:szCs w:val="24"/>
                <w:lang w:val="en-US"/>
              </w:rPr>
            </w:pPr>
            <w:r>
              <w:rPr>
                <w:rFonts w:ascii="Times New Roman" w:hAnsi="Times New Roman"/>
                <w:sz w:val="24"/>
                <w:szCs w:val="24"/>
                <w:lang w:val="en-US"/>
              </w:rPr>
              <w:t xml:space="preserve">MAXITROL </w:t>
            </w:r>
            <w:r>
              <w:rPr>
                <w:rFonts w:ascii="Times New Roman" w:hAnsi="Times New Roman"/>
                <w:sz w:val="24"/>
                <w:szCs w:val="24"/>
                <w:vertAlign w:val="superscript"/>
                <w:lang w:val="en-US"/>
              </w:rPr>
              <w:t>®</w:t>
            </w:r>
            <w:r>
              <w:rPr>
                <w:rFonts w:ascii="Times New Roman" w:hAnsi="Times New Roman"/>
                <w:sz w:val="24"/>
                <w:szCs w:val="24"/>
                <w:lang w:val="en-US"/>
              </w:rPr>
              <w:t xml:space="preserve"> 5ml</w:t>
            </w:r>
          </w:p>
          <w:p>
            <w:pPr>
              <w:jc w:val="center"/>
              <w:rPr>
                <w:rFonts w:ascii="Times New Roman" w:hAnsi="Times New Roman"/>
                <w:sz w:val="24"/>
                <w:szCs w:val="24"/>
                <w:lang w:val="en-US"/>
              </w:rPr>
            </w:pPr>
            <w:r>
              <w:rPr>
                <w:rFonts w:ascii="Times New Roman" w:hAnsi="Times New Roman"/>
                <w:sz w:val="24"/>
                <w:szCs w:val="24"/>
                <w:lang w:val="en-US"/>
              </w:rPr>
              <w:t>(Dexamethason 1mg/ml, Neomycin sulfat 3500IU/ml, Polimyxin B sulfat 6000IU/ml)</w:t>
            </w:r>
          </w:p>
        </w:tc>
        <w:tc>
          <w:tcPr>
            <w:tcW w:w="1841" w:type="dxa"/>
            <w:vAlign w:val="center"/>
          </w:tcPr>
          <w:p>
            <w:pPr>
              <w:jc w:val="center"/>
              <w:rPr>
                <w:rFonts w:ascii="Times New Roman" w:hAnsi="Times New Roman"/>
                <w:sz w:val="24"/>
                <w:szCs w:val="24"/>
                <w:lang w:val="en-US"/>
              </w:rPr>
            </w:pPr>
            <w:r>
              <w:rPr>
                <w:rFonts w:ascii="Times New Roman" w:hAnsi="Times New Roman"/>
                <w:sz w:val="24"/>
                <w:szCs w:val="24"/>
                <w:lang w:val="en-US"/>
              </w:rPr>
              <w:t>540110024025 (VN-21435-18)</w:t>
            </w:r>
          </w:p>
        </w:tc>
        <w:tc>
          <w:tcPr>
            <w:tcW w:w="1203" w:type="dxa"/>
            <w:vAlign w:val="center"/>
          </w:tcPr>
          <w:p>
            <w:pPr>
              <w:jc w:val="center"/>
              <w:rPr>
                <w:rFonts w:ascii="Times New Roman" w:hAnsi="Times New Roman"/>
                <w:sz w:val="24"/>
                <w:szCs w:val="24"/>
                <w:lang w:val="en-US"/>
              </w:rPr>
            </w:pPr>
            <w:r>
              <w:rPr>
                <w:rFonts w:ascii="Times New Roman" w:hAnsi="Times New Roman"/>
                <w:sz w:val="24"/>
                <w:szCs w:val="24"/>
                <w:lang w:val="en-US"/>
              </w:rPr>
              <w:t>VFD09A</w:t>
            </w:r>
          </w:p>
        </w:tc>
        <w:tc>
          <w:tcPr>
            <w:tcW w:w="1310" w:type="dxa"/>
            <w:vAlign w:val="center"/>
          </w:tcPr>
          <w:p>
            <w:pPr>
              <w:jc w:val="center"/>
              <w:rPr>
                <w:rFonts w:ascii="Times New Roman" w:hAnsi="Times New Roman"/>
                <w:sz w:val="24"/>
                <w:szCs w:val="24"/>
                <w:lang w:val="en-US"/>
              </w:rPr>
            </w:pPr>
            <w:r>
              <w:rPr>
                <w:rFonts w:ascii="Times New Roman" w:hAnsi="Times New Roman"/>
                <w:sz w:val="24"/>
                <w:szCs w:val="24"/>
                <w:lang w:val="en-US"/>
              </w:rPr>
              <w:t>14/03/2024</w:t>
            </w:r>
          </w:p>
        </w:tc>
        <w:tc>
          <w:tcPr>
            <w:tcW w:w="1490" w:type="dxa"/>
            <w:vAlign w:val="center"/>
          </w:tcPr>
          <w:p>
            <w:pPr>
              <w:jc w:val="center"/>
              <w:rPr>
                <w:rFonts w:ascii="Times New Roman" w:hAnsi="Times New Roman"/>
                <w:sz w:val="24"/>
                <w:szCs w:val="24"/>
                <w:lang w:val="en-US"/>
              </w:rPr>
            </w:pPr>
            <w:r>
              <w:rPr>
                <w:rFonts w:ascii="Times New Roman" w:hAnsi="Times New Roman"/>
                <w:sz w:val="24"/>
                <w:szCs w:val="24"/>
                <w:lang w:val="en-US"/>
              </w:rPr>
              <w:t>14/03/2026</w:t>
            </w:r>
          </w:p>
        </w:tc>
        <w:tc>
          <w:tcPr>
            <w:tcW w:w="2275" w:type="dxa"/>
            <w:vAlign w:val="center"/>
          </w:tcPr>
          <w:p>
            <w:pPr>
              <w:jc w:val="center"/>
              <w:rPr>
                <w:rFonts w:ascii="Times New Roman" w:hAnsi="Times New Roman"/>
                <w:sz w:val="24"/>
                <w:szCs w:val="24"/>
                <w:lang w:val="en-US"/>
              </w:rPr>
            </w:pPr>
            <w:r>
              <w:rPr>
                <w:rFonts w:ascii="Times New Roman" w:hAnsi="Times New Roman"/>
                <w:sz w:val="24"/>
                <w:szCs w:val="24"/>
                <w:lang w:val="en-US"/>
              </w:rPr>
              <w:t>S.A ALCON-COUVREUR N.V (Rijksweg 14, 2870 Puurs. Belgium - Bỉ)</w:t>
            </w:r>
          </w:p>
        </w:tc>
        <w:tc>
          <w:tcPr>
            <w:tcW w:w="1554" w:type="dxa"/>
            <w:vAlign w:val="center"/>
          </w:tcPr>
          <w:p>
            <w:pPr>
              <w:jc w:val="center"/>
              <w:rPr>
                <w:rFonts w:ascii="Times New Roman" w:hAnsi="Times New Roman"/>
                <w:sz w:val="24"/>
                <w:szCs w:val="24"/>
                <w:lang w:val="en-US"/>
              </w:rPr>
            </w:pPr>
          </w:p>
        </w:tc>
      </w:tr>
      <w:tr>
        <w:tc>
          <w:tcPr>
            <w:tcW w:w="675" w:type="dxa"/>
            <w:vAlign w:val="center"/>
          </w:tcPr>
          <w:p>
            <w:pPr>
              <w:jc w:val="center"/>
              <w:rPr>
                <w:rFonts w:ascii="Times New Roman" w:hAnsi="Times New Roman"/>
                <w:sz w:val="24"/>
                <w:szCs w:val="24"/>
                <w:lang w:val="en-US"/>
              </w:rPr>
            </w:pPr>
            <w:r>
              <w:rPr>
                <w:rFonts w:ascii="Times New Roman" w:hAnsi="Times New Roman"/>
                <w:sz w:val="24"/>
                <w:szCs w:val="24"/>
                <w:lang w:val="en-US"/>
              </w:rPr>
              <w:t>3</w:t>
            </w:r>
          </w:p>
        </w:tc>
        <w:tc>
          <w:tcPr>
            <w:tcW w:w="3402" w:type="dxa"/>
            <w:vAlign w:val="center"/>
          </w:tcPr>
          <w:p>
            <w:pPr>
              <w:jc w:val="center"/>
              <w:rPr>
                <w:rFonts w:ascii="Times New Roman" w:hAnsi="Times New Roman"/>
                <w:sz w:val="24"/>
                <w:szCs w:val="24"/>
                <w:lang w:val="en-US"/>
              </w:rPr>
            </w:pPr>
            <w:r>
              <w:rPr>
                <w:rFonts w:ascii="Times New Roman" w:hAnsi="Times New Roman"/>
                <w:sz w:val="24"/>
                <w:szCs w:val="24"/>
                <w:lang w:val="en-US"/>
              </w:rPr>
              <w:t xml:space="preserve">TobraDex </w:t>
            </w:r>
            <w:r>
              <w:rPr>
                <w:rFonts w:ascii="Times New Roman" w:hAnsi="Times New Roman"/>
                <w:sz w:val="24"/>
                <w:szCs w:val="24"/>
                <w:vertAlign w:val="superscript"/>
                <w:lang w:val="en-US"/>
              </w:rPr>
              <w:t>®</w:t>
            </w:r>
            <w:r>
              <w:rPr>
                <w:rFonts w:ascii="Times New Roman" w:hAnsi="Times New Roman"/>
                <w:sz w:val="24"/>
                <w:szCs w:val="24"/>
                <w:lang w:val="en-US"/>
              </w:rPr>
              <w:t xml:space="preserve"> 5ml</w:t>
            </w:r>
          </w:p>
          <w:p>
            <w:pPr>
              <w:jc w:val="center"/>
              <w:rPr>
                <w:rFonts w:ascii="Times New Roman" w:hAnsi="Times New Roman"/>
                <w:sz w:val="24"/>
                <w:szCs w:val="24"/>
                <w:lang w:val="en-US"/>
              </w:rPr>
            </w:pPr>
            <w:r>
              <w:rPr>
                <w:rFonts w:ascii="Times New Roman" w:hAnsi="Times New Roman"/>
                <w:sz w:val="24"/>
                <w:szCs w:val="24"/>
                <w:lang w:val="en-US"/>
              </w:rPr>
              <w:t>(Tobramycin 0.3%, Dexamethasone 0.1%)</w:t>
            </w:r>
          </w:p>
        </w:tc>
        <w:tc>
          <w:tcPr>
            <w:tcW w:w="1841" w:type="dxa"/>
            <w:vAlign w:val="center"/>
          </w:tcPr>
          <w:p>
            <w:pPr>
              <w:jc w:val="center"/>
              <w:rPr>
                <w:rFonts w:ascii="Times New Roman" w:hAnsi="Times New Roman"/>
                <w:sz w:val="24"/>
                <w:szCs w:val="24"/>
                <w:lang w:val="en-US"/>
              </w:rPr>
            </w:pPr>
            <w:r>
              <w:rPr>
                <w:rFonts w:ascii="Times New Roman" w:hAnsi="Times New Roman"/>
                <w:sz w:val="24"/>
                <w:szCs w:val="24"/>
                <w:lang w:val="en-US"/>
              </w:rPr>
              <w:t>VN-20587-17</w:t>
            </w:r>
          </w:p>
        </w:tc>
        <w:tc>
          <w:tcPr>
            <w:tcW w:w="1203" w:type="dxa"/>
            <w:vAlign w:val="center"/>
          </w:tcPr>
          <w:p>
            <w:pPr>
              <w:jc w:val="center"/>
              <w:rPr>
                <w:rFonts w:ascii="Times New Roman" w:hAnsi="Times New Roman"/>
                <w:sz w:val="24"/>
                <w:szCs w:val="24"/>
                <w:lang w:val="en-US"/>
              </w:rPr>
            </w:pPr>
            <w:r>
              <w:rPr>
                <w:rFonts w:ascii="Times New Roman" w:hAnsi="Times New Roman"/>
                <w:sz w:val="24"/>
                <w:szCs w:val="24"/>
                <w:lang w:val="en-US"/>
              </w:rPr>
              <w:t>VHN07A</w:t>
            </w:r>
          </w:p>
        </w:tc>
        <w:tc>
          <w:tcPr>
            <w:tcW w:w="1310" w:type="dxa"/>
            <w:vAlign w:val="center"/>
          </w:tcPr>
          <w:p>
            <w:pPr>
              <w:jc w:val="center"/>
              <w:rPr>
                <w:rFonts w:ascii="Times New Roman" w:hAnsi="Times New Roman"/>
                <w:sz w:val="24"/>
                <w:szCs w:val="24"/>
                <w:lang w:val="en-US"/>
              </w:rPr>
            </w:pPr>
            <w:r>
              <w:rPr>
                <w:rFonts w:ascii="Times New Roman" w:hAnsi="Times New Roman"/>
                <w:sz w:val="24"/>
                <w:szCs w:val="24"/>
                <w:lang w:val="en-US"/>
              </w:rPr>
              <w:t>12/06/2024</w:t>
            </w:r>
          </w:p>
        </w:tc>
        <w:tc>
          <w:tcPr>
            <w:tcW w:w="1490" w:type="dxa"/>
            <w:vAlign w:val="center"/>
          </w:tcPr>
          <w:p>
            <w:pPr>
              <w:jc w:val="center"/>
              <w:rPr>
                <w:rFonts w:ascii="Times New Roman" w:hAnsi="Times New Roman"/>
                <w:sz w:val="24"/>
                <w:szCs w:val="24"/>
                <w:lang w:val="en-US"/>
              </w:rPr>
            </w:pPr>
            <w:r>
              <w:rPr>
                <w:rFonts w:ascii="Times New Roman" w:hAnsi="Times New Roman"/>
                <w:sz w:val="24"/>
                <w:szCs w:val="24"/>
                <w:lang w:val="en-US"/>
              </w:rPr>
              <w:t>12/06/2026</w:t>
            </w:r>
          </w:p>
        </w:tc>
        <w:tc>
          <w:tcPr>
            <w:tcW w:w="2275" w:type="dxa"/>
            <w:vAlign w:val="center"/>
          </w:tcPr>
          <w:p>
            <w:pPr>
              <w:jc w:val="center"/>
              <w:rPr>
                <w:rFonts w:ascii="Times New Roman" w:hAnsi="Times New Roman"/>
                <w:sz w:val="24"/>
                <w:szCs w:val="24"/>
                <w:lang w:val="en-US"/>
              </w:rPr>
            </w:pPr>
            <w:r>
              <w:rPr>
                <w:rFonts w:ascii="Times New Roman" w:hAnsi="Times New Roman"/>
                <w:sz w:val="24"/>
                <w:szCs w:val="24"/>
                <w:lang w:val="en-US"/>
              </w:rPr>
              <w:t>S.A ALCON-COUVREUR N.V (Rijksweg 14, 2870 Puurs. Belgium - Bỉ)</w:t>
            </w:r>
          </w:p>
        </w:tc>
        <w:tc>
          <w:tcPr>
            <w:tcW w:w="1554" w:type="dxa"/>
            <w:vAlign w:val="center"/>
          </w:tcPr>
          <w:p>
            <w:pPr>
              <w:jc w:val="center"/>
              <w:rPr>
                <w:rFonts w:ascii="Times New Roman" w:hAnsi="Times New Roman"/>
                <w:sz w:val="24"/>
                <w:szCs w:val="24"/>
                <w:lang w:val="en-US"/>
              </w:rPr>
            </w:pPr>
          </w:p>
        </w:tc>
      </w:tr>
      <w:tr>
        <w:tc>
          <w:tcPr>
            <w:tcW w:w="675" w:type="dxa"/>
            <w:vAlign w:val="center"/>
          </w:tcPr>
          <w:p>
            <w:pPr>
              <w:jc w:val="center"/>
              <w:rPr>
                <w:rFonts w:ascii="Times New Roman" w:hAnsi="Times New Roman"/>
                <w:sz w:val="24"/>
                <w:szCs w:val="24"/>
                <w:lang w:val="en-US"/>
              </w:rPr>
            </w:pPr>
            <w:r>
              <w:rPr>
                <w:rFonts w:ascii="Times New Roman" w:hAnsi="Times New Roman"/>
                <w:sz w:val="24"/>
                <w:szCs w:val="24"/>
                <w:lang w:val="en-US"/>
              </w:rPr>
              <w:t>4</w:t>
            </w:r>
          </w:p>
        </w:tc>
        <w:tc>
          <w:tcPr>
            <w:tcW w:w="3402" w:type="dxa"/>
            <w:vAlign w:val="center"/>
          </w:tcPr>
          <w:p>
            <w:pPr>
              <w:jc w:val="center"/>
              <w:rPr>
                <w:rFonts w:ascii="Times New Roman" w:hAnsi="Times New Roman"/>
                <w:sz w:val="24"/>
                <w:szCs w:val="24"/>
                <w:lang w:val="en-US"/>
              </w:rPr>
            </w:pPr>
            <w:r>
              <w:rPr>
                <w:rFonts w:ascii="Times New Roman" w:hAnsi="Times New Roman"/>
                <w:sz w:val="24"/>
                <w:szCs w:val="24"/>
                <w:lang w:val="en-US"/>
              </w:rPr>
              <w:t xml:space="preserve">Lexomil </w:t>
            </w:r>
            <w:r>
              <w:rPr>
                <w:rFonts w:ascii="Times New Roman" w:hAnsi="Times New Roman"/>
                <w:sz w:val="24"/>
                <w:szCs w:val="24"/>
                <w:vertAlign w:val="superscript"/>
                <w:lang w:val="en-US"/>
              </w:rPr>
              <w:t>®</w:t>
            </w:r>
            <w:r>
              <w:rPr>
                <w:rFonts w:ascii="Times New Roman" w:hAnsi="Times New Roman"/>
                <w:sz w:val="24"/>
                <w:szCs w:val="24"/>
                <w:lang w:val="en-US"/>
              </w:rPr>
              <w:t xml:space="preserve"> 6mg</w:t>
            </w:r>
          </w:p>
          <w:p>
            <w:pPr>
              <w:jc w:val="center"/>
              <w:rPr>
                <w:rFonts w:ascii="Times New Roman" w:hAnsi="Times New Roman"/>
                <w:sz w:val="24"/>
                <w:szCs w:val="24"/>
                <w:lang w:val="en-US"/>
              </w:rPr>
            </w:pPr>
          </w:p>
        </w:tc>
        <w:tc>
          <w:tcPr>
            <w:tcW w:w="1841" w:type="dxa"/>
            <w:vAlign w:val="center"/>
          </w:tcPr>
          <w:p>
            <w:pPr>
              <w:jc w:val="center"/>
              <w:rPr>
                <w:rFonts w:ascii="Times New Roman" w:hAnsi="Times New Roman"/>
                <w:sz w:val="24"/>
                <w:szCs w:val="24"/>
                <w:lang w:val="en-US"/>
              </w:rPr>
            </w:pPr>
          </w:p>
        </w:tc>
        <w:tc>
          <w:tcPr>
            <w:tcW w:w="1203" w:type="dxa"/>
            <w:vAlign w:val="center"/>
          </w:tcPr>
          <w:p>
            <w:pPr>
              <w:jc w:val="center"/>
              <w:rPr>
                <w:rFonts w:ascii="Times New Roman" w:hAnsi="Times New Roman"/>
                <w:sz w:val="24"/>
                <w:szCs w:val="24"/>
                <w:lang w:val="en-US"/>
              </w:rPr>
            </w:pPr>
            <w:r>
              <w:rPr>
                <w:rFonts w:ascii="Times New Roman" w:hAnsi="Times New Roman"/>
                <w:sz w:val="24"/>
                <w:szCs w:val="24"/>
              </w:rPr>
              <w:t>F3193F01</w:t>
            </w:r>
          </w:p>
        </w:tc>
        <w:tc>
          <w:tcPr>
            <w:tcW w:w="1310" w:type="dxa"/>
            <w:vAlign w:val="center"/>
          </w:tcPr>
          <w:p>
            <w:pPr>
              <w:jc w:val="center"/>
              <w:rPr>
                <w:rFonts w:ascii="Times New Roman" w:hAnsi="Times New Roman"/>
                <w:sz w:val="24"/>
                <w:szCs w:val="24"/>
                <w:lang w:val="en-US"/>
              </w:rPr>
            </w:pPr>
          </w:p>
        </w:tc>
        <w:tc>
          <w:tcPr>
            <w:tcW w:w="1490" w:type="dxa"/>
            <w:vAlign w:val="center"/>
          </w:tcPr>
          <w:p>
            <w:pPr>
              <w:jc w:val="center"/>
              <w:rPr>
                <w:rFonts w:ascii="Times New Roman" w:hAnsi="Times New Roman"/>
                <w:sz w:val="24"/>
                <w:szCs w:val="24"/>
                <w:lang w:val="en-US"/>
              </w:rPr>
            </w:pPr>
            <w:r>
              <w:rPr>
                <w:rFonts w:ascii="Times New Roman" w:hAnsi="Times New Roman"/>
                <w:sz w:val="24"/>
                <w:szCs w:val="24"/>
                <w:lang w:val="en-US"/>
              </w:rPr>
              <w:t>12/2027</w:t>
            </w:r>
          </w:p>
        </w:tc>
        <w:tc>
          <w:tcPr>
            <w:tcW w:w="2275" w:type="dxa"/>
            <w:vAlign w:val="center"/>
          </w:tcPr>
          <w:p>
            <w:pPr>
              <w:jc w:val="center"/>
              <w:rPr>
                <w:rFonts w:ascii="Times New Roman" w:hAnsi="Times New Roman"/>
                <w:sz w:val="24"/>
                <w:szCs w:val="24"/>
                <w:lang w:val="en-US"/>
              </w:rPr>
            </w:pPr>
            <w:r>
              <w:rPr>
                <w:rFonts w:ascii="Times New Roman" w:hAnsi="Times New Roman"/>
                <w:sz w:val="24"/>
                <w:szCs w:val="24"/>
                <w:lang w:val="en-US"/>
              </w:rPr>
              <w:t>Cenexi (Fontenay sous Bois 52, rue Marcel et</w:t>
            </w:r>
          </w:p>
          <w:p>
            <w:pPr>
              <w:jc w:val="center"/>
              <w:rPr>
                <w:rFonts w:ascii="Times New Roman" w:hAnsi="Times New Roman"/>
                <w:sz w:val="24"/>
                <w:szCs w:val="24"/>
                <w:lang w:val="en-US"/>
              </w:rPr>
            </w:pPr>
            <w:r>
              <w:rPr>
                <w:rFonts w:ascii="Times New Roman" w:hAnsi="Times New Roman"/>
                <w:sz w:val="24"/>
                <w:szCs w:val="24"/>
                <w:lang w:val="en-US"/>
              </w:rPr>
              <w:t>Jacques Gaucher, 94120 Fontenay-sous-Bois, France)</w:t>
            </w:r>
          </w:p>
        </w:tc>
        <w:tc>
          <w:tcPr>
            <w:tcW w:w="1554" w:type="dxa"/>
            <w:vAlign w:val="center"/>
          </w:tcPr>
          <w:p>
            <w:pPr>
              <w:jc w:val="center"/>
              <w:rPr>
                <w:rFonts w:ascii="Times New Roman" w:hAnsi="Times New Roman"/>
                <w:sz w:val="24"/>
                <w:szCs w:val="24"/>
                <w:lang w:val="en-US"/>
              </w:rPr>
            </w:pPr>
            <w:r>
              <w:rPr>
                <w:rFonts w:ascii="Times New Roman" w:hAnsi="Times New Roman"/>
                <w:sz w:val="24"/>
                <w:szCs w:val="24"/>
                <w:lang w:val="en-US"/>
              </w:rPr>
              <w:t>Quy cách: hộp 30 viên</w:t>
            </w:r>
          </w:p>
        </w:tc>
      </w:tr>
      <w:tr>
        <w:tc>
          <w:tcPr>
            <w:tcW w:w="675" w:type="dxa"/>
            <w:vAlign w:val="center"/>
          </w:tcPr>
          <w:p>
            <w:pPr>
              <w:jc w:val="center"/>
              <w:rPr>
                <w:rFonts w:ascii="Times New Roman" w:hAnsi="Times New Roman"/>
                <w:sz w:val="24"/>
                <w:szCs w:val="24"/>
                <w:lang w:val="en-US"/>
              </w:rPr>
            </w:pPr>
          </w:p>
        </w:tc>
        <w:tc>
          <w:tcPr>
            <w:tcW w:w="3402" w:type="dxa"/>
            <w:vAlign w:val="center"/>
          </w:tcPr>
          <w:p>
            <w:pPr>
              <w:jc w:val="center"/>
              <w:rPr>
                <w:rFonts w:ascii="Times New Roman" w:hAnsi="Times New Roman"/>
                <w:b/>
                <w:sz w:val="24"/>
                <w:szCs w:val="24"/>
                <w:lang w:val="en-US"/>
              </w:rPr>
            </w:pPr>
            <w:r>
              <w:rPr>
                <w:rFonts w:ascii="Times New Roman" w:hAnsi="Times New Roman"/>
                <w:b/>
                <w:sz w:val="24"/>
                <w:szCs w:val="24"/>
                <w:lang w:val="en-US"/>
              </w:rPr>
              <w:t>Tổng cộng: 04 thuốc</w:t>
            </w:r>
          </w:p>
        </w:tc>
        <w:tc>
          <w:tcPr>
            <w:tcW w:w="1841" w:type="dxa"/>
            <w:vAlign w:val="center"/>
          </w:tcPr>
          <w:p>
            <w:pPr>
              <w:jc w:val="center"/>
              <w:rPr>
                <w:rFonts w:ascii="Times New Roman" w:hAnsi="Times New Roman"/>
                <w:sz w:val="24"/>
                <w:szCs w:val="24"/>
                <w:lang w:val="en-US"/>
              </w:rPr>
            </w:pPr>
          </w:p>
        </w:tc>
        <w:tc>
          <w:tcPr>
            <w:tcW w:w="1203" w:type="dxa"/>
            <w:vAlign w:val="center"/>
          </w:tcPr>
          <w:p>
            <w:pPr>
              <w:jc w:val="center"/>
              <w:rPr>
                <w:rFonts w:ascii="Times New Roman" w:hAnsi="Times New Roman"/>
                <w:sz w:val="24"/>
                <w:szCs w:val="24"/>
                <w:lang w:val="en-US"/>
              </w:rPr>
            </w:pPr>
          </w:p>
        </w:tc>
        <w:tc>
          <w:tcPr>
            <w:tcW w:w="1310" w:type="dxa"/>
            <w:vAlign w:val="center"/>
          </w:tcPr>
          <w:p>
            <w:pPr>
              <w:jc w:val="center"/>
              <w:rPr>
                <w:rFonts w:ascii="Times New Roman" w:hAnsi="Times New Roman"/>
                <w:sz w:val="24"/>
                <w:szCs w:val="24"/>
                <w:lang w:val="en-US"/>
              </w:rPr>
            </w:pPr>
          </w:p>
        </w:tc>
        <w:tc>
          <w:tcPr>
            <w:tcW w:w="1490" w:type="dxa"/>
            <w:vAlign w:val="center"/>
          </w:tcPr>
          <w:p>
            <w:pPr>
              <w:jc w:val="center"/>
              <w:rPr>
                <w:rFonts w:ascii="Times New Roman" w:hAnsi="Times New Roman"/>
                <w:sz w:val="24"/>
                <w:szCs w:val="24"/>
                <w:lang w:val="en-US"/>
              </w:rPr>
            </w:pPr>
          </w:p>
        </w:tc>
        <w:tc>
          <w:tcPr>
            <w:tcW w:w="2275" w:type="dxa"/>
            <w:vAlign w:val="center"/>
          </w:tcPr>
          <w:p>
            <w:pPr>
              <w:jc w:val="center"/>
              <w:rPr>
                <w:rFonts w:ascii="Times New Roman" w:hAnsi="Times New Roman"/>
                <w:sz w:val="24"/>
                <w:szCs w:val="24"/>
                <w:lang w:val="en-US"/>
              </w:rPr>
            </w:pPr>
          </w:p>
        </w:tc>
        <w:tc>
          <w:tcPr>
            <w:tcW w:w="1554" w:type="dxa"/>
            <w:vAlign w:val="center"/>
          </w:tcPr>
          <w:p>
            <w:pPr>
              <w:jc w:val="center"/>
              <w:rPr>
                <w:rFonts w:ascii="Times New Roman" w:hAnsi="Times New Roman"/>
                <w:sz w:val="24"/>
                <w:szCs w:val="24"/>
                <w:lang w:val="en-US"/>
              </w:rPr>
            </w:pPr>
          </w:p>
        </w:tc>
      </w:tr>
    </w:tbl>
    <w:p>
      <w:pPr>
        <w:jc w:val="center"/>
        <w:rPr>
          <w:sz w:val="28"/>
          <w:szCs w:val="28"/>
          <w:lang w:val="en-US"/>
        </w:rPr>
      </w:pPr>
    </w:p>
    <w:p>
      <w:pPr>
        <w:tabs>
          <w:tab w:val="left" w:pos="6588"/>
        </w:tabs>
        <w:rPr>
          <w:sz w:val="28"/>
          <w:szCs w:val="28"/>
          <w:lang w:val="en-US"/>
        </w:rPr>
      </w:pPr>
      <w:r>
        <w:rPr>
          <w:sz w:val="28"/>
          <w:szCs w:val="28"/>
          <w:lang w:val="en-US"/>
        </w:rPr>
        <w:tab/>
        <w:t xml:space="preserve">   </w:t>
      </w:r>
    </w:p>
    <w:sectPr>
      <w:pgSz w:w="15840" w:h="12240" w:orient="landscape"/>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8180B-7EAC-4AD9-8B03-9107B36B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43"/>
      <w:jc w:val="both"/>
    </w:pPr>
    <w:rPr>
      <w:sz w:val="28"/>
      <w:szCs w:val="28"/>
    </w:rPr>
  </w:style>
  <w:style w:type="character" w:customStyle="1" w:styleId="BodyTextChar">
    <w:name w:val="Body Text Char"/>
    <w:basedOn w:val="DefaultParagraphFont"/>
    <w:link w:val="BodyText"/>
    <w:uiPriority w:val="1"/>
    <w:rPr>
      <w:rFonts w:eastAsia="Times New Roman" w:cs="Times New Roman"/>
      <w:sz w:val="28"/>
      <w:szCs w:val="28"/>
      <w:lang w:val="vi"/>
    </w:rPr>
  </w:style>
  <w:style w:type="table" w:styleId="TableGrid">
    <w:name w:val="Table Grid"/>
    <w:basedOn w:val="TableNormal"/>
    <w:uiPriority w:val="39"/>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143" w:firstLine="719"/>
      <w:jc w:val="both"/>
    </w:pPr>
  </w:style>
  <w:style w:type="paragraph" w:customStyle="1" w:styleId="Chun">
    <w:name w:val="Chuẩn"/>
    <w:qFormat/>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2"/>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 w:val="22"/>
      <w:lang w:val="vi"/>
    </w:rPr>
  </w:style>
  <w:style w:type="paragraph" w:styleId="NormalWeb">
    <w:name w:val="Normal (Web)"/>
    <w:basedOn w:val="Normal"/>
    <w:uiPriority w:val="99"/>
    <w:semiHidden/>
    <w:unhideWhenUs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849025205">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 w:id="15322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1674</TotalTime>
  <Pages>1</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108</cp:revision>
  <dcterms:created xsi:type="dcterms:W3CDTF">2025-04-22T03:39:00Z</dcterms:created>
  <dcterms:modified xsi:type="dcterms:W3CDTF">2025-10-17T02:11:00Z</dcterms:modified>
</cp:coreProperties>
</file>