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520"/>
        <w:gridCol w:w="5836"/>
      </w:tblGrid>
      <w:tr>
        <w:trPr>
          <w:trHeight w:val="708"/>
          <w:jc w:val="center"/>
        </w:trPr>
        <w:tc>
          <w:tcPr>
            <w:tcW w:w="3520" w:type="dxa"/>
          </w:tcPr>
          <w:p>
            <w:pPr>
              <w:jc w:val="center"/>
              <w:rPr>
                <w:sz w:val="26"/>
                <w:szCs w:val="26"/>
              </w:rPr>
            </w:pPr>
            <w:r>
              <w:rPr>
                <w:sz w:val="26"/>
                <w:szCs w:val="26"/>
              </w:rPr>
              <w:t>UBND TỈNH ĐIỆN BIÊN</w:t>
            </w:r>
          </w:p>
          <w:p>
            <w:pPr>
              <w:jc w:val="center"/>
              <w:rPr>
                <w:b/>
                <w:bCs/>
                <w:sz w:val="26"/>
                <w:szCs w:val="26"/>
              </w:rPr>
            </w:pPr>
            <w:r>
              <w:rPr>
                <w:b/>
                <w:bCs/>
                <w:noProof/>
                <w:sz w:val="28"/>
                <w:szCs w:val="26"/>
                <w:vertAlign w:val="superscript"/>
                <w:lang w:val="en-US"/>
              </w:rPr>
              <mc:AlternateContent>
                <mc:Choice Requires="wps">
                  <w:drawing>
                    <wp:anchor distT="0" distB="0" distL="114300" distR="114300" simplePos="0" relativeHeight="251656192" behindDoc="0" locked="0" layoutInCell="1" allowOverlap="1">
                      <wp:simplePos x="0" y="0"/>
                      <wp:positionH relativeFrom="column">
                        <wp:posOffset>887095</wp:posOffset>
                      </wp:positionH>
                      <wp:positionV relativeFrom="paragraph">
                        <wp:posOffset>242570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69.85pt;margin-top:19.1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"/>
                  </w:pict>
                </mc:Fallback>
              </mc:AlternateContent>
            </w:r>
            <w:r>
              <w:rPr>
                <w:b/>
                <w:bCs/>
                <w:sz w:val="28"/>
                <w:szCs w:val="26"/>
              </w:rPr>
              <w:t>SỞ Y TẾ</w:t>
            </w:r>
          </w:p>
        </w:tc>
        <w:tc>
          <w:tcPr>
            <w:tcW w:w="5836" w:type="dxa"/>
          </w:tcPr>
          <w:p>
            <w:pPr>
              <w:jc w:val="center"/>
              <w:rPr>
                <w:b/>
                <w:bCs/>
                <w:sz w:val="26"/>
                <w:szCs w:val="26"/>
              </w:rPr>
            </w:pPr>
            <w:r>
              <w:rPr>
                <w:b/>
                <w:bCs/>
                <w:sz w:val="26"/>
                <w:szCs w:val="26"/>
              </w:rPr>
              <w:t>CỘNG HOÀ XÃ HỘI CHỦ NGHĨA VIỆT NAM</w:t>
            </w:r>
          </w:p>
          <w:p>
            <w:pPr>
              <w:jc w:val="center"/>
              <w:rPr>
                <w:b/>
                <w:bCs/>
                <w:sz w:val="26"/>
                <w:szCs w:val="26"/>
              </w:rPr>
            </w:pPr>
            <w:r>
              <w:rPr>
                <w:b/>
                <w:bCs/>
                <w:noProof/>
                <w:sz w:val="28"/>
                <w:szCs w:val="26"/>
                <w:lang w:val="en-US"/>
              </w:rPr>
              <mc:AlternateContent>
                <mc:Choice Requires="wps">
                  <w:drawing>
                    <wp:anchor distT="0" distB="0" distL="114300" distR="114300" simplePos="0" relativeHeight="251660288" behindDoc="0" locked="0" layoutInCell="1" allowOverlap="1">
                      <wp:simplePos x="0" y="0"/>
                      <wp:positionH relativeFrom="column">
                        <wp:posOffset>686435</wp:posOffset>
                      </wp:positionH>
                      <wp:positionV relativeFrom="paragraph">
                        <wp:posOffset>250190</wp:posOffset>
                      </wp:positionV>
                      <wp:extent cx="218694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8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19.7pt" to="226.2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" strokecolor="black [3200]" strokeweight=".5pt">
                      <v:stroke joinstyle="miter"/>
                    </v:line>
                  </w:pict>
                </mc:Fallback>
              </mc:AlternateContent>
            </w:r>
            <w:r>
              <w:rPr>
                <w:b/>
                <w:bCs/>
                <w:sz w:val="28"/>
                <w:szCs w:val="26"/>
              </w:rPr>
              <w:t>Độc lập - Tự do - Hạnh phúc</w:t>
            </w:r>
          </w:p>
        </w:tc>
      </w:tr>
      <w:tr>
        <w:trPr>
          <w:trHeight w:val="421"/>
          <w:jc w:val="center"/>
        </w:trPr>
        <w:tc>
          <w:tcPr>
            <w:tcW w:w="3520" w:type="dxa"/>
          </w:tcPr>
          <w:p>
            <w:pPr>
              <w:spacing w:before="120"/>
              <w:jc w:val="center"/>
              <w:rPr>
                <w:sz w:val="26"/>
                <w:szCs w:val="26"/>
              </w:rPr>
            </w:pPr>
            <w:r>
              <w:rPr>
                <w:sz w:val="26"/>
                <w:szCs w:val="26"/>
              </w:rPr>
              <w:t xml:space="preserve">Số:      </w:t>
            </w:r>
            <w:r>
              <w:rPr>
                <w:sz w:val="26"/>
                <w:szCs w:val="26"/>
                <w:lang w:val="en-US"/>
              </w:rPr>
              <w:t xml:space="preserve"> </w:t>
            </w:r>
            <w:r>
              <w:rPr>
                <w:sz w:val="26"/>
                <w:szCs w:val="26"/>
              </w:rPr>
              <w:t xml:space="preserve"> </w:t>
            </w:r>
            <w:r>
              <w:rPr>
                <w:sz w:val="26"/>
                <w:szCs w:val="26"/>
                <w:lang w:val="en-US"/>
              </w:rPr>
              <w:t xml:space="preserve">       </w:t>
            </w:r>
            <w:r>
              <w:rPr>
                <w:sz w:val="26"/>
                <w:szCs w:val="26"/>
              </w:rPr>
              <w:t xml:space="preserve">   /SYT-NVYD</w:t>
            </w:r>
          </w:p>
          <w:p>
            <w:pPr>
              <w:jc w:val="center"/>
              <w:rPr>
                <w:spacing w:val="-8"/>
                <w:sz w:val="24"/>
                <w:szCs w:val="24"/>
                <w:lang w:val="en-US"/>
              </w:rPr>
            </w:pPr>
            <w:r>
              <w:rPr>
                <w:spacing w:val="-8"/>
                <w:sz w:val="24"/>
                <w:szCs w:val="24"/>
              </w:rPr>
              <w:t>V/v</w:t>
            </w:r>
            <w:r>
              <w:rPr>
                <w:spacing w:val="-8"/>
                <w:sz w:val="24"/>
                <w:szCs w:val="24"/>
                <w:lang w:val="en-US"/>
              </w:rPr>
              <w:t xml:space="preserve"> rà soát nhu cầu của thuốc biệt dược gốc áp dụng hình thức đàm phán giá giai đoạn 2026-2028.</w:t>
            </w:r>
          </w:p>
        </w:tc>
        <w:tc>
          <w:tcPr>
            <w:tcW w:w="5836" w:type="dxa"/>
          </w:tcPr>
          <w:p>
            <w:pPr>
              <w:spacing w:before="120"/>
              <w:jc w:val="center"/>
              <w:rPr>
                <w:b/>
                <w:bCs/>
                <w:sz w:val="26"/>
                <w:szCs w:val="26"/>
              </w:rPr>
            </w:pPr>
            <w:r>
              <w:rPr>
                <w:i/>
                <w:sz w:val="28"/>
                <w:szCs w:val="28"/>
              </w:rPr>
              <w:t xml:space="preserve">       Điện Biên, ngày</w:t>
            </w:r>
            <w:r>
              <w:rPr>
                <w:i/>
                <w:sz w:val="28"/>
                <w:szCs w:val="28"/>
                <w:lang w:val="en-US"/>
              </w:rPr>
              <w:t xml:space="preserve">  </w:t>
            </w:r>
            <w:r>
              <w:rPr>
                <w:i/>
                <w:sz w:val="28"/>
                <w:szCs w:val="28"/>
              </w:rPr>
              <w:t xml:space="preserve">  </w:t>
            </w:r>
            <w:r>
              <w:rPr>
                <w:i/>
                <w:sz w:val="28"/>
                <w:szCs w:val="28"/>
                <w:lang w:val="en-US"/>
              </w:rPr>
              <w:t xml:space="preserve">  </w:t>
            </w:r>
            <w:r>
              <w:rPr>
                <w:i/>
                <w:sz w:val="28"/>
                <w:szCs w:val="28"/>
              </w:rPr>
              <w:t xml:space="preserve">   tháng </w:t>
            </w:r>
            <w:r>
              <w:rPr>
                <w:i/>
                <w:sz w:val="28"/>
                <w:szCs w:val="28"/>
                <w:lang w:val="en-US"/>
              </w:rPr>
              <w:t xml:space="preserve"> 10 </w:t>
            </w:r>
            <w:r>
              <w:rPr>
                <w:i/>
                <w:sz w:val="28"/>
                <w:szCs w:val="28"/>
              </w:rPr>
              <w:t>năm 2025</w:t>
            </w:r>
          </w:p>
        </w:tc>
      </w:tr>
    </w:tbl>
    <w:p>
      <w:pPr>
        <w:spacing w:before="120" w:after="120"/>
        <w:ind w:firstLine="680"/>
        <w:jc w:val="both"/>
        <w:rPr>
          <w:sz w:val="2"/>
          <w:szCs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4811"/>
      </w:tblGrid>
      <w:tr>
        <w:trPr>
          <w:jc w:val="center"/>
        </w:trPr>
        <w:tc>
          <w:tcPr>
            <w:tcW w:w="1526" w:type="dxa"/>
          </w:tcPr>
          <w:p>
            <w:pPr>
              <w:jc w:val="center"/>
              <w:rPr>
                <w:rFonts w:ascii="Times New Roman" w:hAnsi="Times New Roman"/>
                <w:sz w:val="28"/>
                <w:szCs w:val="28"/>
                <w:lang w:val="en-US"/>
              </w:rPr>
            </w:pPr>
            <w:r>
              <w:rPr>
                <w:rFonts w:ascii="Times New Roman" w:hAnsi="Times New Roman"/>
                <w:sz w:val="28"/>
                <w:szCs w:val="28"/>
                <w:lang w:val="en-US"/>
              </w:rPr>
              <w:t>Kính gửi:</w:t>
            </w:r>
          </w:p>
        </w:tc>
        <w:tc>
          <w:tcPr>
            <w:tcW w:w="4811" w:type="dxa"/>
          </w:tcPr>
          <w:p>
            <w:pPr>
              <w:jc w:val="center"/>
              <w:rPr>
                <w:rFonts w:ascii="Times New Roman" w:hAnsi="Times New Roman"/>
                <w:sz w:val="28"/>
                <w:szCs w:val="28"/>
                <w:lang w:val="en-US"/>
              </w:rPr>
            </w:pPr>
          </w:p>
        </w:tc>
      </w:tr>
      <w:tr>
        <w:trPr>
          <w:jc w:val="center"/>
        </w:trPr>
        <w:tc>
          <w:tcPr>
            <w:tcW w:w="1526" w:type="dxa"/>
          </w:tcPr>
          <w:p>
            <w:pPr>
              <w:jc w:val="center"/>
              <w:rPr>
                <w:rFonts w:ascii="Times New Roman" w:hAnsi="Times New Roman"/>
                <w:sz w:val="28"/>
                <w:szCs w:val="28"/>
                <w:lang w:val="en-US"/>
              </w:rPr>
            </w:pPr>
          </w:p>
        </w:tc>
        <w:tc>
          <w:tcPr>
            <w:tcW w:w="4811" w:type="dxa"/>
          </w:tcPr>
          <w:p>
            <w:pPr>
              <w:rPr>
                <w:rFonts w:ascii="Times New Roman" w:hAnsi="Times New Roman"/>
                <w:sz w:val="28"/>
                <w:szCs w:val="28"/>
                <w:lang w:val="en-US"/>
              </w:rPr>
            </w:pPr>
            <w:r>
              <w:rPr>
                <w:rFonts w:ascii="Times New Roman" w:hAnsi="Times New Roman"/>
                <w:sz w:val="28"/>
                <w:szCs w:val="28"/>
                <w:lang w:val="en-US"/>
              </w:rPr>
              <w:t>- Các cơ sở khám, chữa bệnh;</w:t>
            </w:r>
          </w:p>
        </w:tc>
      </w:tr>
      <w:tr>
        <w:trPr>
          <w:jc w:val="center"/>
        </w:trPr>
        <w:tc>
          <w:tcPr>
            <w:tcW w:w="1526" w:type="dxa"/>
          </w:tcPr>
          <w:p>
            <w:pPr>
              <w:jc w:val="center"/>
              <w:rPr>
                <w:rFonts w:ascii="Times New Roman" w:hAnsi="Times New Roman"/>
                <w:sz w:val="28"/>
                <w:szCs w:val="28"/>
                <w:lang w:val="en-US"/>
              </w:rPr>
            </w:pPr>
          </w:p>
        </w:tc>
        <w:tc>
          <w:tcPr>
            <w:tcW w:w="4811" w:type="dxa"/>
          </w:tcPr>
          <w:p>
            <w:pPr>
              <w:rPr>
                <w:rFonts w:ascii="Times New Roman" w:hAnsi="Times New Roman"/>
                <w:sz w:val="28"/>
                <w:szCs w:val="28"/>
                <w:lang w:val="en-US"/>
              </w:rPr>
            </w:pPr>
            <w:r>
              <w:rPr>
                <w:rFonts w:ascii="Times New Roman" w:hAnsi="Times New Roman"/>
                <w:sz w:val="28"/>
                <w:szCs w:val="28"/>
                <w:lang w:val="en-US"/>
              </w:rPr>
              <w:t>- Trung tâm Kiểm soát bệnh tật tỉnh.</w:t>
            </w:r>
          </w:p>
        </w:tc>
      </w:tr>
      <w:tr>
        <w:trPr>
          <w:jc w:val="center"/>
        </w:trPr>
        <w:tc>
          <w:tcPr>
            <w:tcW w:w="1526" w:type="dxa"/>
          </w:tcPr>
          <w:p>
            <w:pPr>
              <w:jc w:val="center"/>
              <w:rPr>
                <w:rFonts w:ascii="Times New Roman" w:hAnsi="Times New Roman"/>
                <w:sz w:val="28"/>
                <w:szCs w:val="28"/>
                <w:lang w:val="en-US"/>
              </w:rPr>
            </w:pPr>
          </w:p>
        </w:tc>
        <w:tc>
          <w:tcPr>
            <w:tcW w:w="4811" w:type="dxa"/>
          </w:tcPr>
          <w:p>
            <w:pPr>
              <w:rPr>
                <w:rFonts w:ascii="Times New Roman" w:hAnsi="Times New Roman"/>
                <w:sz w:val="28"/>
                <w:szCs w:val="28"/>
                <w:lang w:val="en-US"/>
              </w:rPr>
            </w:pPr>
            <w:r>
              <w:rPr>
                <w:rFonts w:ascii="Times New Roman" w:hAnsi="Times New Roman"/>
                <w:sz w:val="28"/>
                <w:szCs w:val="28"/>
                <w:lang w:val="en-US"/>
              </w:rPr>
              <w:t>- Phòng khám đa khoa Bình An;</w:t>
            </w:r>
          </w:p>
        </w:tc>
      </w:tr>
      <w:tr>
        <w:trPr>
          <w:jc w:val="center"/>
        </w:trPr>
        <w:tc>
          <w:tcPr>
            <w:tcW w:w="1526" w:type="dxa"/>
          </w:tcPr>
          <w:p>
            <w:pPr>
              <w:jc w:val="center"/>
              <w:rPr>
                <w:rFonts w:ascii="Times New Roman" w:hAnsi="Times New Roman"/>
                <w:sz w:val="28"/>
                <w:szCs w:val="28"/>
                <w:lang w:val="en-US"/>
              </w:rPr>
            </w:pPr>
          </w:p>
        </w:tc>
        <w:tc>
          <w:tcPr>
            <w:tcW w:w="4811" w:type="dxa"/>
          </w:tcPr>
          <w:p>
            <w:pPr>
              <w:rPr>
                <w:rFonts w:ascii="Times New Roman" w:hAnsi="Times New Roman"/>
                <w:sz w:val="28"/>
                <w:szCs w:val="28"/>
                <w:lang w:val="en-US"/>
              </w:rPr>
            </w:pPr>
            <w:r>
              <w:rPr>
                <w:rFonts w:ascii="Times New Roman" w:hAnsi="Times New Roman"/>
                <w:sz w:val="28"/>
                <w:szCs w:val="28"/>
                <w:lang w:val="en-US"/>
              </w:rPr>
              <w:t>- Bệnh viện 7-5 Công an tỉnh.</w:t>
            </w:r>
          </w:p>
        </w:tc>
      </w:tr>
    </w:tbl>
    <w:p>
      <w:pPr>
        <w:spacing w:before="120" w:after="120"/>
        <w:jc w:val="center"/>
        <w:rPr>
          <w:sz w:val="28"/>
          <w:szCs w:val="28"/>
          <w:lang w:val="en-US"/>
        </w:rPr>
      </w:pPr>
    </w:p>
    <w:p>
      <w:pPr>
        <w:spacing w:before="120" w:after="120"/>
        <w:ind w:firstLine="680"/>
        <w:jc w:val="both"/>
        <w:rPr>
          <w:sz w:val="28"/>
          <w:szCs w:val="28"/>
        </w:rPr>
      </w:pPr>
      <w:r>
        <w:rPr>
          <w:sz w:val="28"/>
          <w:szCs w:val="28"/>
        </w:rPr>
        <w:tab/>
      </w:r>
      <w:r>
        <w:rPr>
          <w:sz w:val="28"/>
          <w:szCs w:val="28"/>
          <w:lang w:val="en-US"/>
        </w:rPr>
        <w:t>Thực hiện</w:t>
      </w:r>
      <w:r>
        <w:rPr>
          <w:sz w:val="28"/>
          <w:szCs w:val="28"/>
        </w:rPr>
        <w:t xml:space="preserve"> </w:t>
      </w:r>
      <w:r>
        <w:rPr>
          <w:bCs/>
          <w:sz w:val="28"/>
          <w:szCs w:val="28"/>
          <w:lang w:val="en-US"/>
        </w:rPr>
        <w:t>Công văn số 797/TTMS-NVD ngày 29/10/2025 của Trung tâm Mua sắm tập trung thuốc Quốc gia về việc rà soát nhu cầu của thuốc biệt dược gốc áp dụng hình thức đàm phán giá năm 2023</w:t>
      </w:r>
      <w:r>
        <w:rPr>
          <w:sz w:val="28"/>
          <w:szCs w:val="28"/>
          <w:lang w:val="en-US"/>
        </w:rPr>
        <w:t xml:space="preserve">, </w:t>
      </w:r>
      <w:r>
        <w:rPr>
          <w:sz w:val="28"/>
          <w:szCs w:val="28"/>
        </w:rPr>
        <w:t>Sở Y tế yêu cầu các</w:t>
      </w:r>
      <w:r>
        <w:rPr>
          <w:sz w:val="28"/>
          <w:szCs w:val="28"/>
          <w:lang w:val="en-US"/>
        </w:rPr>
        <w:t xml:space="preserve"> </w:t>
      </w:r>
      <w:r>
        <w:rPr>
          <w:sz w:val="28"/>
          <w:szCs w:val="28"/>
        </w:rPr>
        <w:t>đơn vị triển khai thực hiện một số nội dung sau:</w:t>
      </w:r>
    </w:p>
    <w:p>
      <w:pPr>
        <w:spacing w:before="120" w:after="120"/>
        <w:ind w:firstLine="680"/>
        <w:jc w:val="both"/>
        <w:rPr>
          <w:sz w:val="28"/>
          <w:szCs w:val="28"/>
          <w:lang w:val="en-US"/>
        </w:rPr>
      </w:pPr>
      <w:r>
        <w:rPr>
          <w:b/>
          <w:sz w:val="28"/>
          <w:szCs w:val="28"/>
          <w:lang w:val="en-US"/>
        </w:rPr>
        <w:t>1</w:t>
      </w:r>
      <w:r>
        <w:rPr>
          <w:sz w:val="28"/>
          <w:szCs w:val="28"/>
          <w:lang w:val="en-US"/>
        </w:rPr>
        <w:t>. Chủ động</w:t>
      </w:r>
      <w:r>
        <w:rPr>
          <w:sz w:val="28"/>
          <w:szCs w:val="28"/>
        </w:rPr>
        <w:t xml:space="preserve"> rà soát, bảo đảm </w:t>
      </w:r>
      <w:r>
        <w:rPr>
          <w:sz w:val="28"/>
          <w:szCs w:val="28"/>
          <w:lang w:val="en-US"/>
        </w:rPr>
        <w:t xml:space="preserve">cung ứng </w:t>
      </w:r>
      <w:r>
        <w:rPr>
          <w:sz w:val="28"/>
          <w:szCs w:val="28"/>
        </w:rPr>
        <w:t xml:space="preserve">toàn bộ các thuốc thuộc </w:t>
      </w:r>
      <w:r>
        <w:rPr>
          <w:bCs/>
          <w:sz w:val="28"/>
          <w:szCs w:val="28"/>
        </w:rPr>
        <w:t>Phụ lục đính kèm Công văn số 797/TTMS-NVD</w:t>
      </w:r>
      <w:r>
        <w:rPr>
          <w:sz w:val="28"/>
          <w:szCs w:val="28"/>
        </w:rPr>
        <w:t xml:space="preserve"> đáp ứng nhu cầu sử dụng trong thời gian </w:t>
      </w:r>
      <w:r>
        <w:rPr>
          <w:bCs/>
          <w:sz w:val="28"/>
          <w:szCs w:val="28"/>
        </w:rPr>
        <w:t>chưa có kết quả đàm phán giá mới</w:t>
      </w:r>
      <w:r>
        <w:rPr>
          <w:sz w:val="28"/>
          <w:szCs w:val="28"/>
        </w:rPr>
        <w:t xml:space="preserve">, đảm bảo </w:t>
      </w:r>
      <w:r>
        <w:rPr>
          <w:sz w:val="28"/>
          <w:szCs w:val="28"/>
          <w:lang w:val="en-US"/>
        </w:rPr>
        <w:t>đủ</w:t>
      </w:r>
      <w:r>
        <w:rPr>
          <w:sz w:val="28"/>
          <w:szCs w:val="28"/>
        </w:rPr>
        <w:t xml:space="preserve"> thuốc phục vụ điều trị </w:t>
      </w:r>
      <w:r>
        <w:rPr>
          <w:bCs/>
          <w:sz w:val="28"/>
          <w:szCs w:val="28"/>
        </w:rPr>
        <w:t>liên tục, không gián đoạn</w:t>
      </w:r>
      <w:r>
        <w:rPr>
          <w:sz w:val="28"/>
          <w:szCs w:val="28"/>
        </w:rPr>
        <w:t xml:space="preserve">, cho đến khi có </w:t>
      </w:r>
      <w:r>
        <w:rPr>
          <w:bCs/>
          <w:sz w:val="28"/>
          <w:szCs w:val="28"/>
        </w:rPr>
        <w:t>thông báo tiếp theo của Trung tâm Mua sắm tập trung thuốc Quốc gia</w:t>
      </w:r>
      <w:r>
        <w:rPr>
          <w:sz w:val="28"/>
          <w:szCs w:val="28"/>
        </w:rPr>
        <w:t>.</w:t>
      </w:r>
    </w:p>
    <w:p>
      <w:pPr>
        <w:spacing w:before="120" w:after="120"/>
        <w:ind w:firstLine="680"/>
        <w:jc w:val="both"/>
        <w:rPr>
          <w:bCs/>
          <w:sz w:val="28"/>
          <w:szCs w:val="28"/>
          <w:lang w:val="en-US"/>
        </w:rPr>
      </w:pPr>
      <w:r>
        <w:rPr>
          <w:b/>
          <w:bCs/>
          <w:sz w:val="28"/>
          <w:szCs w:val="28"/>
          <w:lang w:val="en-US"/>
        </w:rPr>
        <w:t xml:space="preserve"> 2</w:t>
      </w:r>
      <w:r>
        <w:rPr>
          <w:bCs/>
          <w:sz w:val="28"/>
          <w:szCs w:val="28"/>
          <w:lang w:val="en-US"/>
        </w:rPr>
        <w:t>. Rà soát, đối chiếu danh mục 83 thuốc biệt dược gốc kèm theo Công văn số 797/TTMS-NVD với nhu cầu thực tế sử dụng tại đơn vị trong 36 tháng gần nhất (2022–2024), cụ thể:</w:t>
      </w:r>
    </w:p>
    <w:p>
      <w:pPr>
        <w:spacing w:before="120" w:after="120"/>
        <w:ind w:firstLine="680"/>
        <w:jc w:val="both"/>
        <w:rPr>
          <w:bCs/>
          <w:sz w:val="28"/>
          <w:szCs w:val="28"/>
          <w:lang w:val="en-US"/>
        </w:rPr>
      </w:pPr>
      <w:r>
        <w:rPr>
          <w:bCs/>
          <w:sz w:val="28"/>
          <w:szCs w:val="28"/>
          <w:lang w:val="en-US"/>
        </w:rPr>
        <w:t>- Đối với thuốc đã có trong dự trù trước đây: Rà soát lại nhu cầu và tùy chọn mua thêm (nếu có). Trường hợp có thay đổi (tăng hoặc giảm), phải điều chỉnh và nêu rõ nguyên nhân thay đổi (như tăng lượng bệnh nhân, thay đổi mô hình điều trị, chuyển tuyến, v.v.);</w:t>
      </w:r>
    </w:p>
    <w:p>
      <w:pPr>
        <w:spacing w:before="120" w:after="120"/>
        <w:ind w:firstLine="680"/>
        <w:jc w:val="both"/>
        <w:rPr>
          <w:bCs/>
          <w:sz w:val="28"/>
          <w:szCs w:val="28"/>
          <w:lang w:val="en-US"/>
        </w:rPr>
      </w:pPr>
      <w:r>
        <w:rPr>
          <w:bCs/>
          <w:sz w:val="28"/>
          <w:szCs w:val="28"/>
          <w:lang w:val="en-US"/>
        </w:rPr>
        <w:t>- Đối với thuốc mới phát sinh nhu cầu: Bổ sung vào danh mục, kèm giải trình chi tiết về: chỉ định điều trị, tần suất sử dụng, chuyên khoa có nhu cầu dùng thuốc;</w:t>
      </w:r>
    </w:p>
    <w:p>
      <w:pPr>
        <w:spacing w:before="120" w:after="120"/>
        <w:ind w:firstLine="680"/>
        <w:jc w:val="both"/>
        <w:rPr>
          <w:bCs/>
          <w:sz w:val="28"/>
          <w:szCs w:val="28"/>
          <w:lang w:val="en-US"/>
        </w:rPr>
      </w:pPr>
      <w:r>
        <w:rPr>
          <w:bCs/>
          <w:sz w:val="28"/>
          <w:szCs w:val="28"/>
          <w:lang w:val="en-US"/>
        </w:rPr>
        <w:t>- Cập nhật thông tin đơn vị: Trường hợp có thay đổi tên đơn vị, quy mô hoạt động, cơ cấu giường bệnh hoặc sau sáp nhập, cần ghi rõ để thuận tiện trong tổng hợp dữ liệu;</w:t>
      </w:r>
    </w:p>
    <w:p>
      <w:pPr>
        <w:spacing w:before="120" w:after="120"/>
        <w:ind w:firstLine="680"/>
        <w:jc w:val="both"/>
        <w:rPr>
          <w:bCs/>
          <w:sz w:val="28"/>
          <w:szCs w:val="28"/>
          <w:lang w:val="en-US"/>
        </w:rPr>
      </w:pPr>
      <w:r>
        <w:rPr>
          <w:bCs/>
          <w:sz w:val="28"/>
          <w:szCs w:val="28"/>
          <w:lang w:val="en-US"/>
        </w:rPr>
        <w:t>* Đối với trường hợp không có nhu cầu điều chỉnh: Đơn vị vẫn phải có văn bản xác nhận gửi về Sở Y tế để tổng hợp báo cáo Trung tâm Mua sắm tập trung thuốc Quốc gia.</w:t>
      </w:r>
    </w:p>
    <w:p>
      <w:pPr>
        <w:spacing w:before="120" w:after="120"/>
        <w:ind w:firstLine="680"/>
        <w:jc w:val="center"/>
        <w:rPr>
          <w:bCs/>
          <w:i/>
          <w:iCs/>
          <w:sz w:val="28"/>
          <w:szCs w:val="28"/>
          <w:lang w:val="en-US"/>
        </w:rPr>
      </w:pPr>
      <w:r>
        <w:rPr>
          <w:bCs/>
          <w:i/>
          <w:iCs/>
          <w:sz w:val="28"/>
          <w:szCs w:val="28"/>
          <w:lang w:val="en-US"/>
        </w:rPr>
        <w:t>(Rà soát chi tiết theo Phụ lục đính kèm)</w:t>
      </w:r>
    </w:p>
    <w:p>
      <w:pPr>
        <w:spacing w:before="120" w:after="120"/>
        <w:ind w:firstLine="680"/>
        <w:jc w:val="both"/>
        <w:rPr>
          <w:bCs/>
          <w:sz w:val="28"/>
          <w:szCs w:val="28"/>
          <w:lang w:val="en-US"/>
        </w:rPr>
      </w:pPr>
      <w:r>
        <w:rPr>
          <w:b/>
          <w:bCs/>
          <w:sz w:val="28"/>
          <w:szCs w:val="28"/>
          <w:lang w:val="en-US"/>
        </w:rPr>
        <w:lastRenderedPageBreak/>
        <w:t>3</w:t>
      </w:r>
      <w:r>
        <w:rPr>
          <w:bCs/>
          <w:sz w:val="28"/>
          <w:szCs w:val="28"/>
          <w:lang w:val="en-US"/>
        </w:rPr>
        <w:t>. Các đơn vị gửi báo cáo rà soát nhu cầu về Sở Y tế (Phòng Nghiệp vụ Y -  Dược) trước 11h00 ngày 06/11/2025 để Sở Y tế tổng hợp báo cáo Trung tâm Mua sắm tập trung thuốc Quốc gia.</w:t>
      </w:r>
    </w:p>
    <w:p>
      <w:pPr>
        <w:spacing w:before="120" w:after="120"/>
        <w:ind w:firstLine="680"/>
        <w:jc w:val="both"/>
        <w:rPr>
          <w:w w:val="105"/>
          <w:sz w:val="28"/>
          <w:szCs w:val="28"/>
          <w:lang w:val="en-US"/>
        </w:rPr>
      </w:pPr>
      <w:r>
        <w:rPr>
          <w:w w:val="105"/>
          <w:sz w:val="28"/>
          <w:szCs w:val="28"/>
          <w:lang w:val="en-US"/>
        </w:rPr>
        <w:t>Sở Y tế yêu cầu các cơ sở nghiêm túc triển khai thực hiện đảm bảo nội dung yêu cầu./.</w:t>
      </w:r>
    </w:p>
    <w:p>
      <w:pPr>
        <w:spacing w:before="120" w:after="120"/>
        <w:ind w:firstLine="680"/>
        <w:jc w:val="both"/>
        <w:rPr>
          <w:w w:val="105"/>
          <w:sz w:val="2"/>
          <w:szCs w:val="2"/>
          <w:lang w:val="en-US"/>
        </w:rPr>
      </w:pPr>
    </w:p>
    <w:tbl>
      <w:tblPr>
        <w:tblW w:w="9395" w:type="dxa"/>
        <w:tblInd w:w="103" w:type="dxa"/>
        <w:tblLook w:val="01E0" w:firstRow="1" w:lastRow="1" w:firstColumn="1" w:lastColumn="1" w:noHBand="0" w:noVBand="0"/>
      </w:tblPr>
      <w:tblGrid>
        <w:gridCol w:w="4509"/>
        <w:gridCol w:w="4886"/>
      </w:tblGrid>
      <w:tr>
        <w:trPr>
          <w:trHeight w:val="709"/>
        </w:trPr>
        <w:tc>
          <w:tcPr>
            <w:tcW w:w="4509" w:type="dxa"/>
          </w:tcPr>
          <w:p>
            <w:pPr>
              <w:rPr>
                <w:i/>
                <w:sz w:val="24"/>
                <w:szCs w:val="24"/>
              </w:rPr>
            </w:pPr>
            <w:r>
              <w:rPr>
                <w:b/>
                <w:bCs/>
                <w:i/>
                <w:iCs/>
                <w:sz w:val="24"/>
                <w:szCs w:val="24"/>
              </w:rPr>
              <w:t>Nơi nhận:</w:t>
            </w:r>
            <w:r>
              <w:rPr>
                <w:i/>
                <w:sz w:val="24"/>
                <w:szCs w:val="24"/>
              </w:rPr>
              <w:t xml:space="preserve">                                               </w:t>
            </w:r>
          </w:p>
          <w:p>
            <w:pPr>
              <w:rPr>
                <w:i/>
                <w:sz w:val="24"/>
                <w:szCs w:val="24"/>
              </w:rPr>
            </w:pPr>
            <w:r>
              <w:t xml:space="preserve">- </w:t>
            </w:r>
            <w:r>
              <w:rPr>
                <w:iCs/>
              </w:rPr>
              <w:t>Như trên</w:t>
            </w:r>
            <w:r>
              <w:t>;</w:t>
            </w:r>
          </w:p>
          <w:p>
            <w:r>
              <w:t>- Lãnh đạo Sở Y tế;</w:t>
            </w:r>
          </w:p>
          <w:p>
            <w:r>
              <w:t xml:space="preserve">- </w:t>
            </w:r>
            <w:r>
              <w:rPr>
                <w:lang w:val="en-US"/>
              </w:rPr>
              <w:t>Các phòng chức năng</w:t>
            </w:r>
            <w:r>
              <w:t xml:space="preserve"> Sở Y tế;</w:t>
            </w:r>
          </w:p>
          <w:p>
            <w:r>
              <w:t>- Website Sở Y tế;</w:t>
            </w:r>
          </w:p>
          <w:p>
            <w:pPr>
              <w:rPr>
                <w:sz w:val="20"/>
              </w:rPr>
            </w:pPr>
            <w:r>
              <w:t>- Lưu VT, NVYD.</w:t>
            </w:r>
          </w:p>
        </w:tc>
        <w:tc>
          <w:tcPr>
            <w:tcW w:w="4886" w:type="dxa"/>
          </w:tcPr>
          <w:p>
            <w:pPr>
              <w:pStyle w:val="Chun"/>
              <w:jc w:val="center"/>
              <w:rPr>
                <w:rFonts w:ascii="Times New Roman" w:hAnsi="Times New Roman"/>
                <w:b/>
                <w:bCs/>
                <w:sz w:val="26"/>
                <w:szCs w:val="26"/>
              </w:rPr>
            </w:pPr>
            <w:r>
              <w:rPr>
                <w:rFonts w:ascii="Times New Roman" w:hAnsi="Times New Roman"/>
                <w:b/>
                <w:bCs/>
                <w:sz w:val="26"/>
                <w:szCs w:val="26"/>
              </w:rPr>
              <w:t xml:space="preserve">KT. </w:t>
            </w:r>
            <w:r>
              <w:rPr>
                <w:rFonts w:ascii="Times New Roman" w:hAnsi="Times New Roman"/>
                <w:b/>
                <w:bCs/>
                <w:sz w:val="26"/>
                <w:szCs w:val="26"/>
                <w:lang w:val="vi-VN"/>
              </w:rPr>
              <w:t>GIÁM ĐỐC</w:t>
            </w:r>
          </w:p>
          <w:p>
            <w:pPr>
              <w:pStyle w:val="Chun"/>
              <w:jc w:val="center"/>
              <w:rPr>
                <w:rFonts w:ascii="Times New Roman" w:hAnsi="Times New Roman"/>
                <w:bCs/>
                <w:iCs/>
                <w:sz w:val="26"/>
                <w:szCs w:val="26"/>
              </w:rPr>
            </w:pPr>
            <w:r>
              <w:rPr>
                <w:rFonts w:ascii="Times New Roman" w:hAnsi="Times New Roman"/>
                <w:b/>
                <w:bCs/>
                <w:sz w:val="26"/>
                <w:szCs w:val="26"/>
              </w:rPr>
              <w:t>PHÓ GIÁM ĐỐC</w:t>
            </w:r>
          </w:p>
          <w:p>
            <w:pPr>
              <w:jc w:val="center"/>
              <w:rPr>
                <w:b/>
                <w:bCs/>
                <w:sz w:val="28"/>
                <w:szCs w:val="24"/>
              </w:rPr>
            </w:pPr>
          </w:p>
          <w:p>
            <w:pPr>
              <w:jc w:val="center"/>
              <w:rPr>
                <w:b/>
                <w:bCs/>
                <w:sz w:val="28"/>
                <w:szCs w:val="24"/>
                <w:lang w:val="en-US"/>
              </w:rPr>
            </w:pPr>
            <w:bookmarkStart w:id="0" w:name="_GoBack"/>
            <w:bookmarkEnd w:id="0"/>
          </w:p>
          <w:p>
            <w:pPr>
              <w:jc w:val="center"/>
              <w:rPr>
                <w:b/>
                <w:bCs/>
                <w:sz w:val="36"/>
                <w:szCs w:val="32"/>
                <w:lang w:val="en-US"/>
              </w:rPr>
            </w:pPr>
          </w:p>
          <w:p>
            <w:pPr>
              <w:jc w:val="center"/>
              <w:rPr>
                <w:b/>
                <w:bCs/>
                <w:sz w:val="28"/>
                <w:szCs w:val="24"/>
                <w:lang w:val="en-US"/>
              </w:rPr>
            </w:pPr>
          </w:p>
          <w:p>
            <w:pPr>
              <w:jc w:val="center"/>
              <w:rPr>
                <w:b/>
                <w:bCs/>
                <w:sz w:val="26"/>
                <w:szCs w:val="24"/>
              </w:rPr>
            </w:pPr>
          </w:p>
          <w:p>
            <w:pPr>
              <w:jc w:val="center"/>
              <w:rPr>
                <w:b/>
                <w:bCs/>
                <w:sz w:val="26"/>
                <w:szCs w:val="24"/>
              </w:rPr>
            </w:pPr>
          </w:p>
          <w:p>
            <w:pPr>
              <w:jc w:val="center"/>
              <w:rPr>
                <w:b/>
                <w:sz w:val="26"/>
                <w:szCs w:val="26"/>
              </w:rPr>
            </w:pPr>
            <w:r>
              <w:rPr>
                <w:b/>
                <w:bCs/>
                <w:iCs/>
                <w:sz w:val="26"/>
                <w:szCs w:val="26"/>
              </w:rPr>
              <w:t>Phạm Văn Mẫn</w:t>
            </w:r>
            <w:r>
              <w:rPr>
                <w:b/>
                <w:sz w:val="26"/>
                <w:szCs w:val="26"/>
              </w:rPr>
              <w:t xml:space="preserve"> </w:t>
            </w:r>
          </w:p>
        </w:tc>
      </w:tr>
    </w:tbl>
    <w:p>
      <w:pPr>
        <w:tabs>
          <w:tab w:val="left" w:pos="6588"/>
        </w:tabs>
        <w:rPr>
          <w:sz w:val="28"/>
          <w:szCs w:val="28"/>
          <w:lang w:val="en-US"/>
        </w:rPr>
      </w:pPr>
    </w:p>
    <w:sectPr>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8180B-7EAC-4AD9-8B03-9107B36B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43"/>
      <w:jc w:val="both"/>
    </w:pPr>
    <w:rPr>
      <w:sz w:val="28"/>
      <w:szCs w:val="28"/>
    </w:rPr>
  </w:style>
  <w:style w:type="character" w:customStyle="1" w:styleId="BodyTextChar">
    <w:name w:val="Body Text Char"/>
    <w:basedOn w:val="DefaultParagraphFont"/>
    <w:link w:val="BodyText"/>
    <w:uiPriority w:val="1"/>
    <w:rPr>
      <w:rFonts w:eastAsia="Times New Roman" w:cs="Times New Roman"/>
      <w:sz w:val="28"/>
      <w:szCs w:val="28"/>
      <w:lang w:val="vi"/>
    </w:rPr>
  </w:style>
  <w:style w:type="table" w:styleId="TableGrid">
    <w:name w:val="Table Grid"/>
    <w:basedOn w:val="TableNormal"/>
    <w:uiPriority w:val="39"/>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firstLine="719"/>
      <w:jc w:val="both"/>
    </w:pPr>
  </w:style>
  <w:style w:type="paragraph" w:customStyle="1" w:styleId="Chun">
    <w:name w:val="Chuẩn"/>
    <w:qFormat/>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2"/>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2"/>
      <w:lang w:val="vi"/>
    </w:rPr>
  </w:style>
  <w:style w:type="paragraph" w:styleId="NormalWeb">
    <w:name w:val="Normal (Web)"/>
    <w:basedOn w:val="Normal"/>
    <w:uiPriority w:val="99"/>
    <w:semiHidden/>
    <w:unhideWhenUs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849025205">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 w:id="1532261775">
      <w:bodyDiv w:val="1"/>
      <w:marLeft w:val="0"/>
      <w:marRight w:val="0"/>
      <w:marTop w:val="0"/>
      <w:marBottom w:val="0"/>
      <w:divBdr>
        <w:top w:val="none" w:sz="0" w:space="0" w:color="auto"/>
        <w:left w:val="none" w:sz="0" w:space="0" w:color="auto"/>
        <w:bottom w:val="none" w:sz="0" w:space="0" w:color="auto"/>
        <w:right w:val="none" w:sz="0" w:space="0" w:color="auto"/>
      </w:divBdr>
    </w:div>
    <w:div w:id="1661419207">
      <w:bodyDiv w:val="1"/>
      <w:marLeft w:val="0"/>
      <w:marRight w:val="0"/>
      <w:marTop w:val="0"/>
      <w:marBottom w:val="0"/>
      <w:divBdr>
        <w:top w:val="none" w:sz="0" w:space="0" w:color="auto"/>
        <w:left w:val="none" w:sz="0" w:space="0" w:color="auto"/>
        <w:bottom w:val="none" w:sz="0" w:space="0" w:color="auto"/>
        <w:right w:val="none" w:sz="0" w:space="0" w:color="auto"/>
      </w:divBdr>
    </w:div>
    <w:div w:id="20646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1972</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146</cp:revision>
  <dcterms:created xsi:type="dcterms:W3CDTF">2025-04-22T03:39:00Z</dcterms:created>
  <dcterms:modified xsi:type="dcterms:W3CDTF">2025-10-31T01:15:00Z</dcterms:modified>
</cp:coreProperties>
</file>