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9356" w:type="dxa"/>
        <w:jc w:val="center"/>
        <w:tblLayout w:type="fixed"/>
        <w:tblLook w:val="0000" w:firstRow="0" w:lastRow="0" w:firstColumn="0" w:lastColumn="0" w:noHBand="0" w:noVBand="0"/>
      </w:tblPr>
      <w:tblGrid>
        <w:gridCol w:w="3520"/>
        <w:gridCol w:w="5836"/>
      </w:tblGrid>
      <w:tr>
        <w:trPr>
          <w:trHeight w:val="708"/>
          <w:jc w:val="center"/>
        </w:trPr>
        <w:tc>
          <w:tcPr>
            <w:tcW w:w="3520" w:type="dxa"/>
          </w:tcPr>
          <w:p>
            <w:pPr>
              <w:jc w:val="center"/>
              <w:rPr>
                <w:sz w:val="26"/>
                <w:szCs w:val="26"/>
              </w:rPr>
            </w:pPr>
            <w:r>
              <w:rPr>
                <w:sz w:val="26"/>
                <w:szCs w:val="26"/>
              </w:rPr>
              <w:t>UBND TỈNH ĐIỆN BIÊN</w:t>
            </w:r>
          </w:p>
          <w:p>
            <w:pPr>
              <w:jc w:val="center"/>
              <w:rPr>
                <w:b/>
                <w:bCs/>
                <w:sz w:val="26"/>
                <w:szCs w:val="26"/>
              </w:rPr>
            </w:pPr>
            <w:r>
              <w:rPr>
                <w:b/>
                <w:bCs/>
                <w:noProof/>
                <w:sz w:val="26"/>
                <w:szCs w:val="26"/>
                <w:lang w:val="en-US"/>
              </w:rPr>
              <mc:AlternateContent>
                <mc:Choice Requires="wps">
                  <w:drawing>
                    <wp:anchor distT="0" distB="0" distL="114300" distR="114300" simplePos="0" relativeHeight="251661312" behindDoc="0" locked="0" layoutInCell="1" allowOverlap="1">
                      <wp:simplePos x="0" y="0"/>
                      <wp:positionH relativeFrom="column">
                        <wp:posOffset>984885</wp:posOffset>
                      </wp:positionH>
                      <wp:positionV relativeFrom="paragraph">
                        <wp:posOffset>194945</wp:posOffset>
                      </wp:positionV>
                      <wp:extent cx="266700" cy="0"/>
                      <wp:effectExtent l="0" t="0" r="0" b="0"/>
                      <wp:wrapNone/>
                      <wp:docPr id="1" name="Straight Connector 1"/>
                      <wp:cNvGraphicFramePr/>
                      <a:graphic xmlns:a="http://schemas.openxmlformats.org/drawingml/2006/main">
                        <a:graphicData uri="http://schemas.microsoft.com/office/word/2010/wordprocessingShape">
                          <wps:wsp>
                            <wps:cNvCnPr/>
                            <wps:spPr>
                              <a:xfrm>
                                <a:off x="0" y="0"/>
                                <a:ext cx="2667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Straight Connector 1"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77.55pt,15.35pt" to="98.55pt,15.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" strokecolor="black [3200]" strokeweight=".5pt">
                      <v:stroke joinstyle="miter"/>
                    </v:line>
                  </w:pict>
                </mc:Fallback>
              </mc:AlternateContent>
            </w:r>
            <w:r>
              <w:rPr>
                <w:b/>
                <w:bCs/>
                <w:sz w:val="26"/>
                <w:szCs w:val="26"/>
              </w:rPr>
              <w:t>SỞ Y TẾ</w:t>
            </w:r>
          </w:p>
        </w:tc>
        <w:tc>
          <w:tcPr>
            <w:tcW w:w="5836" w:type="dxa"/>
          </w:tcPr>
          <w:p>
            <w:pPr>
              <w:jc w:val="center"/>
              <w:rPr>
                <w:b/>
                <w:bCs/>
                <w:sz w:val="26"/>
                <w:szCs w:val="26"/>
              </w:rPr>
            </w:pPr>
            <w:r>
              <w:rPr>
                <w:b/>
                <w:bCs/>
                <w:sz w:val="24"/>
                <w:szCs w:val="26"/>
              </w:rPr>
              <w:t>CỘNG HOÀ XÃ HỘI CHỦ NGHĨA VIỆT NAM</w:t>
            </w:r>
          </w:p>
          <w:p>
            <w:pPr>
              <w:jc w:val="center"/>
              <w:rPr>
                <w:b/>
                <w:bCs/>
                <w:sz w:val="26"/>
                <w:szCs w:val="26"/>
              </w:rPr>
            </w:pPr>
            <w:r>
              <w:rPr>
                <w:b/>
                <w:bCs/>
                <w:noProof/>
                <w:sz w:val="26"/>
                <w:szCs w:val="26"/>
                <w:lang w:val="en-US"/>
              </w:rPr>
              <mc:AlternateContent>
                <mc:Choice Requires="wps">
                  <w:drawing>
                    <wp:anchor distT="0" distB="0" distL="114300" distR="114300" simplePos="0" relativeHeight="251660288" behindDoc="0" locked="0" layoutInCell="1" allowOverlap="1">
                      <wp:simplePos x="0" y="0"/>
                      <wp:positionH relativeFrom="column">
                        <wp:posOffset>792480</wp:posOffset>
                      </wp:positionH>
                      <wp:positionV relativeFrom="paragraph">
                        <wp:posOffset>233045</wp:posOffset>
                      </wp:positionV>
                      <wp:extent cx="1952625" cy="0"/>
                      <wp:effectExtent l="0" t="0" r="9525" b="19050"/>
                      <wp:wrapNone/>
                      <wp:docPr id="11" name="Straight Arrow Connector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526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11" o:spid="_x0000_s1026" type="#_x0000_t32" style="position:absolute;margin-left:62.4pt;margin-top:18.35pt;width:153.75pt;height: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"/>
                  </w:pict>
                </mc:Fallback>
              </mc:AlternateContent>
            </w:r>
            <w:r>
              <w:rPr>
                <w:b/>
                <w:bCs/>
                <w:sz w:val="26"/>
                <w:szCs w:val="26"/>
              </w:rPr>
              <w:t>Độc lập - Tự do - Hạnh phúc</w:t>
            </w:r>
          </w:p>
        </w:tc>
      </w:tr>
      <w:tr>
        <w:trPr>
          <w:trHeight w:val="718"/>
          <w:jc w:val="center"/>
        </w:trPr>
        <w:tc>
          <w:tcPr>
            <w:tcW w:w="3520" w:type="dxa"/>
          </w:tcPr>
          <w:p>
            <w:pPr>
              <w:spacing w:before="120"/>
              <w:jc w:val="center"/>
              <w:rPr>
                <w:sz w:val="26"/>
                <w:szCs w:val="26"/>
              </w:rPr>
            </w:pPr>
            <w:r>
              <w:rPr>
                <w:sz w:val="26"/>
                <w:szCs w:val="26"/>
              </w:rPr>
              <w:t>Số:          /SYT-NVYD</w:t>
            </w:r>
          </w:p>
          <w:p>
            <w:pPr>
              <w:jc w:val="both"/>
              <w:rPr>
                <w:spacing w:val="-4"/>
                <w:sz w:val="24"/>
                <w:szCs w:val="24"/>
                <w:lang w:val="en-US"/>
              </w:rPr>
            </w:pPr>
            <w:r>
              <w:rPr>
                <w:spacing w:val="-4"/>
                <w:sz w:val="24"/>
                <w:szCs w:val="24"/>
              </w:rPr>
              <w:t>V/v bảo đảm cung ứng thuốc</w:t>
            </w:r>
            <w:r>
              <w:rPr>
                <w:spacing w:val="-4"/>
                <w:sz w:val="24"/>
                <w:szCs w:val="24"/>
                <w:lang w:val="en-US"/>
              </w:rPr>
              <w:t>, vật tư, hóa chất, sinh phẩm</w:t>
            </w:r>
            <w:r>
              <w:rPr>
                <w:spacing w:val="-4"/>
                <w:sz w:val="24"/>
                <w:szCs w:val="24"/>
              </w:rPr>
              <w:t xml:space="preserve"> phục vụ </w:t>
            </w:r>
            <w:r>
              <w:rPr>
                <w:spacing w:val="-4"/>
                <w:sz w:val="24"/>
                <w:szCs w:val="24"/>
                <w:lang w:val="en-US"/>
              </w:rPr>
              <w:t xml:space="preserve">các nhiện vụ </w:t>
            </w:r>
            <w:r>
              <w:rPr>
                <w:spacing w:val="-4"/>
                <w:sz w:val="24"/>
                <w:szCs w:val="24"/>
              </w:rPr>
              <w:t xml:space="preserve">công tác </w:t>
            </w:r>
            <w:r>
              <w:rPr>
                <w:spacing w:val="-4"/>
                <w:sz w:val="24"/>
                <w:szCs w:val="24"/>
                <w:lang w:val="en-US"/>
              </w:rPr>
              <w:t xml:space="preserve">Y tế </w:t>
            </w:r>
            <w:r>
              <w:rPr>
                <w:spacing w:val="-4"/>
                <w:sz w:val="24"/>
                <w:szCs w:val="24"/>
              </w:rPr>
              <w:t>trong mùa mưa lũ năm 2026</w:t>
            </w:r>
          </w:p>
        </w:tc>
        <w:tc>
          <w:tcPr>
            <w:tcW w:w="5836" w:type="dxa"/>
          </w:tcPr>
          <w:p>
            <w:pPr>
              <w:spacing w:before="120"/>
              <w:rPr>
                <w:b/>
                <w:bCs/>
                <w:sz w:val="26"/>
                <w:szCs w:val="26"/>
                <w:lang w:val="en-US"/>
              </w:rPr>
            </w:pPr>
            <w:r>
              <w:rPr>
                <w:i/>
                <w:sz w:val="28"/>
                <w:szCs w:val="28"/>
              </w:rPr>
              <w:t xml:space="preserve">      </w:t>
            </w:r>
            <w:r>
              <w:rPr>
                <w:i/>
                <w:sz w:val="28"/>
                <w:szCs w:val="28"/>
                <w:lang w:val="en-US"/>
              </w:rPr>
              <w:t xml:space="preserve">        </w:t>
            </w:r>
            <w:r>
              <w:rPr>
                <w:i/>
                <w:sz w:val="28"/>
                <w:szCs w:val="28"/>
              </w:rPr>
              <w:t xml:space="preserve"> </w:t>
            </w:r>
            <w:r>
              <w:rPr>
                <w:i/>
                <w:sz w:val="26"/>
                <w:szCs w:val="26"/>
              </w:rPr>
              <w:t xml:space="preserve">Điện Biên, ngày  </w:t>
            </w:r>
            <w:r>
              <w:rPr>
                <w:i/>
                <w:sz w:val="26"/>
                <w:szCs w:val="26"/>
                <w:lang w:val="en-US"/>
              </w:rPr>
              <w:t xml:space="preserve"> </w:t>
            </w:r>
            <w:r>
              <w:rPr>
                <w:i/>
                <w:sz w:val="26"/>
                <w:szCs w:val="26"/>
              </w:rPr>
              <w:t xml:space="preserve">  </w:t>
            </w:r>
            <w:r>
              <w:rPr>
                <w:i/>
                <w:sz w:val="26"/>
                <w:szCs w:val="26"/>
                <w:lang w:val="en-US"/>
              </w:rPr>
              <w:t xml:space="preserve"> </w:t>
            </w:r>
            <w:r>
              <w:rPr>
                <w:i/>
                <w:sz w:val="26"/>
                <w:szCs w:val="26"/>
              </w:rPr>
              <w:t xml:space="preserve">   tháng </w:t>
            </w:r>
            <w:r>
              <w:rPr>
                <w:i/>
                <w:sz w:val="26"/>
                <w:szCs w:val="26"/>
                <w:lang w:val="en-US"/>
              </w:rPr>
              <w:t xml:space="preserve">5 </w:t>
            </w:r>
            <w:r>
              <w:rPr>
                <w:i/>
                <w:sz w:val="26"/>
                <w:szCs w:val="26"/>
              </w:rPr>
              <w:t>năm 202</w:t>
            </w:r>
            <w:r>
              <w:rPr>
                <w:i/>
                <w:sz w:val="26"/>
                <w:szCs w:val="26"/>
                <w:lang w:val="en-US"/>
              </w:rPr>
              <w:t>6</w:t>
            </w:r>
          </w:p>
        </w:tc>
      </w:tr>
    </w:tbl>
    <w:p>
      <w:pPr>
        <w:rPr>
          <w:sz w:val="18"/>
          <w:szCs w:val="18"/>
          <w:lang w:val="en-US"/>
        </w:rPr>
      </w:pPr>
    </w:p>
    <w:tbl>
      <w:tblPr>
        <w:tblStyle w:val="TableGrid"/>
        <w:tblW w:w="0" w:type="auto"/>
        <w:tblInd w:w="7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59"/>
        <w:gridCol w:w="6487"/>
      </w:tblGrid>
      <w:tr>
        <w:tc>
          <w:tcPr>
            <w:tcW w:w="1559" w:type="dxa"/>
          </w:tcPr>
          <w:p>
            <w:pPr>
              <w:jc w:val="right"/>
              <w:rPr>
                <w:rFonts w:ascii="Times New Roman" w:hAnsi="Times New Roman"/>
                <w:spacing w:val="-4"/>
                <w:sz w:val="26"/>
                <w:szCs w:val="26"/>
              </w:rPr>
            </w:pPr>
            <w:r>
              <w:rPr>
                <w:rFonts w:ascii="Times New Roman" w:hAnsi="Times New Roman"/>
                <w:bCs/>
                <w:sz w:val="26"/>
                <w:szCs w:val="26"/>
              </w:rPr>
              <w:t xml:space="preserve">Kính gửi: </w:t>
            </w:r>
          </w:p>
        </w:tc>
        <w:tc>
          <w:tcPr>
            <w:tcW w:w="6487" w:type="dxa"/>
          </w:tcPr>
          <w:p>
            <w:pPr>
              <w:jc w:val="both"/>
              <w:rPr>
                <w:rFonts w:ascii="Times New Roman" w:hAnsi="Times New Roman"/>
                <w:spacing w:val="-4"/>
                <w:sz w:val="26"/>
                <w:szCs w:val="26"/>
              </w:rPr>
            </w:pPr>
          </w:p>
        </w:tc>
      </w:tr>
      <w:tr>
        <w:tc>
          <w:tcPr>
            <w:tcW w:w="1559" w:type="dxa"/>
          </w:tcPr>
          <w:p>
            <w:pPr>
              <w:jc w:val="both"/>
              <w:rPr>
                <w:rFonts w:ascii="Times New Roman" w:hAnsi="Times New Roman"/>
                <w:spacing w:val="-4"/>
                <w:sz w:val="26"/>
                <w:szCs w:val="26"/>
              </w:rPr>
            </w:pPr>
          </w:p>
        </w:tc>
        <w:tc>
          <w:tcPr>
            <w:tcW w:w="6487" w:type="dxa"/>
          </w:tcPr>
          <w:p>
            <w:pPr>
              <w:rPr>
                <w:rFonts w:ascii="Times New Roman" w:hAnsi="Times New Roman"/>
                <w:bCs/>
                <w:sz w:val="26"/>
                <w:szCs w:val="26"/>
                <w:lang w:val="en-US"/>
              </w:rPr>
            </w:pPr>
            <w:r>
              <w:rPr>
                <w:rFonts w:ascii="Times New Roman" w:hAnsi="Times New Roman"/>
                <w:bCs/>
                <w:sz w:val="26"/>
                <w:szCs w:val="26"/>
              </w:rPr>
              <w:t xml:space="preserve">- </w:t>
            </w:r>
            <w:r>
              <w:rPr>
                <w:rFonts w:ascii="Times New Roman" w:hAnsi="Times New Roman"/>
                <w:bCs/>
                <w:sz w:val="26"/>
                <w:szCs w:val="26"/>
                <w:lang w:val="en-US"/>
              </w:rPr>
              <w:t>Các bệnh viện: Đa khoa tỉnh, Phổi, Tâm thần và Bệnh viện Y dược cổ truyền - Phục hồi chức năng;</w:t>
            </w:r>
          </w:p>
        </w:tc>
      </w:tr>
      <w:tr>
        <w:tc>
          <w:tcPr>
            <w:tcW w:w="1559" w:type="dxa"/>
          </w:tcPr>
          <w:p>
            <w:pPr>
              <w:jc w:val="both"/>
              <w:rPr>
                <w:rFonts w:ascii="Times New Roman" w:hAnsi="Times New Roman"/>
                <w:spacing w:val="-4"/>
                <w:sz w:val="26"/>
                <w:szCs w:val="26"/>
              </w:rPr>
            </w:pPr>
          </w:p>
        </w:tc>
        <w:tc>
          <w:tcPr>
            <w:tcW w:w="6487" w:type="dxa"/>
          </w:tcPr>
          <w:p>
            <w:pPr>
              <w:jc w:val="both"/>
              <w:rPr>
                <w:rFonts w:ascii="Times New Roman" w:hAnsi="Times New Roman"/>
                <w:bCs/>
                <w:sz w:val="26"/>
                <w:szCs w:val="26"/>
                <w:lang w:val="en-US"/>
              </w:rPr>
            </w:pPr>
            <w:r>
              <w:rPr>
                <w:rFonts w:ascii="Times New Roman" w:hAnsi="Times New Roman"/>
                <w:bCs/>
                <w:sz w:val="26"/>
                <w:szCs w:val="26"/>
              </w:rPr>
              <w:t xml:space="preserve">- </w:t>
            </w:r>
            <w:r>
              <w:rPr>
                <w:rFonts w:ascii="Times New Roman" w:hAnsi="Times New Roman"/>
                <w:bCs/>
                <w:sz w:val="26"/>
                <w:szCs w:val="26"/>
                <w:lang w:val="en-US"/>
              </w:rPr>
              <w:t>Trung tâm Kiểm soát bệnh tật và các Trung tâm Y tế;</w:t>
            </w:r>
          </w:p>
        </w:tc>
      </w:tr>
      <w:tr>
        <w:tc>
          <w:tcPr>
            <w:tcW w:w="1559" w:type="dxa"/>
          </w:tcPr>
          <w:p>
            <w:pPr>
              <w:jc w:val="both"/>
              <w:rPr>
                <w:rFonts w:ascii="Times New Roman" w:hAnsi="Times New Roman"/>
                <w:spacing w:val="-4"/>
                <w:sz w:val="26"/>
                <w:szCs w:val="26"/>
              </w:rPr>
            </w:pPr>
          </w:p>
        </w:tc>
        <w:tc>
          <w:tcPr>
            <w:tcW w:w="6487" w:type="dxa"/>
          </w:tcPr>
          <w:p>
            <w:pPr>
              <w:jc w:val="both"/>
              <w:rPr>
                <w:rFonts w:ascii="Times New Roman" w:hAnsi="Times New Roman"/>
                <w:spacing w:val="-4"/>
                <w:sz w:val="26"/>
                <w:szCs w:val="26"/>
              </w:rPr>
            </w:pPr>
            <w:r>
              <w:rPr>
                <w:rFonts w:ascii="Times New Roman" w:hAnsi="Times New Roman"/>
                <w:bCs/>
                <w:sz w:val="26"/>
                <w:szCs w:val="26"/>
              </w:rPr>
              <w:t>- U</w:t>
            </w:r>
            <w:r>
              <w:rPr>
                <w:rFonts w:ascii="Times New Roman" w:hAnsi="Times New Roman"/>
                <w:bCs/>
                <w:sz w:val="26"/>
                <w:szCs w:val="26"/>
                <w:lang w:val="en-US"/>
              </w:rPr>
              <w:t>ỷ ban nhân dân</w:t>
            </w:r>
            <w:r>
              <w:rPr>
                <w:rFonts w:ascii="Times New Roman" w:hAnsi="Times New Roman"/>
                <w:bCs/>
                <w:sz w:val="26"/>
                <w:szCs w:val="26"/>
              </w:rPr>
              <w:t xml:space="preserve"> các </w:t>
            </w:r>
            <w:r>
              <w:rPr>
                <w:rFonts w:ascii="Times New Roman" w:hAnsi="Times New Roman"/>
                <w:bCs/>
                <w:sz w:val="26"/>
                <w:szCs w:val="26"/>
                <w:lang w:val="en-US"/>
              </w:rPr>
              <w:t>xã, phường</w:t>
            </w:r>
            <w:r>
              <w:rPr>
                <w:rFonts w:ascii="Times New Roman" w:hAnsi="Times New Roman"/>
                <w:bCs/>
                <w:sz w:val="26"/>
                <w:szCs w:val="26"/>
              </w:rPr>
              <w:t>.</w:t>
            </w:r>
          </w:p>
        </w:tc>
      </w:tr>
    </w:tbl>
    <w:p>
      <w:pPr>
        <w:jc w:val="both"/>
        <w:rPr>
          <w:spacing w:val="-4"/>
          <w:sz w:val="26"/>
          <w:szCs w:val="26"/>
        </w:rPr>
      </w:pPr>
    </w:p>
    <w:p>
      <w:pPr>
        <w:spacing w:before="120" w:after="120"/>
        <w:jc w:val="both"/>
        <w:rPr>
          <w:spacing w:val="2"/>
          <w:sz w:val="26"/>
          <w:szCs w:val="26"/>
        </w:rPr>
      </w:pPr>
      <w:r>
        <w:rPr>
          <w:spacing w:val="-4"/>
          <w:sz w:val="26"/>
          <w:szCs w:val="26"/>
        </w:rPr>
        <w:tab/>
      </w:r>
      <w:r>
        <w:rPr>
          <w:spacing w:val="2"/>
          <w:sz w:val="26"/>
          <w:szCs w:val="26"/>
        </w:rPr>
        <w:t>H</w:t>
      </w:r>
      <w:r>
        <w:rPr>
          <w:spacing w:val="2"/>
          <w:sz w:val="26"/>
          <w:szCs w:val="26"/>
          <w:lang w:val="en-US"/>
        </w:rPr>
        <w:t>iện nay đã bước vào mùa mưa lũ, tỉnh Điện Biên là địa phương t</w:t>
      </w:r>
      <w:r>
        <w:rPr>
          <w:spacing w:val="2"/>
          <w:sz w:val="26"/>
          <w:szCs w:val="26"/>
        </w:rPr>
        <w:t xml:space="preserve">iềm ẩn </w:t>
      </w:r>
      <w:r>
        <w:rPr>
          <w:spacing w:val="2"/>
          <w:sz w:val="26"/>
          <w:szCs w:val="26"/>
          <w:lang w:val="en-US"/>
        </w:rPr>
        <w:t xml:space="preserve">nhiều </w:t>
      </w:r>
      <w:r>
        <w:rPr>
          <w:spacing w:val="2"/>
          <w:sz w:val="26"/>
          <w:szCs w:val="26"/>
        </w:rPr>
        <w:t xml:space="preserve">nguy cơ xảy ra sạt lở đất, ngập úng, chia cắt giao thông, </w:t>
      </w:r>
      <w:r>
        <w:rPr>
          <w:spacing w:val="2"/>
          <w:sz w:val="26"/>
          <w:szCs w:val="26"/>
          <w:lang w:val="en-US"/>
        </w:rPr>
        <w:t>đ</w:t>
      </w:r>
      <w:r>
        <w:rPr>
          <w:spacing w:val="2"/>
          <w:sz w:val="26"/>
          <w:szCs w:val="26"/>
        </w:rPr>
        <w:t xml:space="preserve">ể bảo đảm </w:t>
      </w:r>
      <w:r>
        <w:rPr>
          <w:spacing w:val="2"/>
          <w:sz w:val="26"/>
          <w:szCs w:val="26"/>
          <w:lang w:val="en-US"/>
        </w:rPr>
        <w:t xml:space="preserve">đủ </w:t>
      </w:r>
      <w:r>
        <w:rPr>
          <w:spacing w:val="2"/>
          <w:sz w:val="26"/>
          <w:szCs w:val="26"/>
        </w:rPr>
        <w:t>thuốc, vật tư y tế</w:t>
      </w:r>
      <w:r>
        <w:rPr>
          <w:spacing w:val="2"/>
          <w:sz w:val="26"/>
          <w:szCs w:val="26"/>
          <w:lang w:val="en-US"/>
        </w:rPr>
        <w:t>, hóa chất, sinh phẩm chẩn đoán invitro phục vụ công tác khám bệnh, chữa bệnh, triển khai các chương trình y tế, phòng chống dịch bệnh, phòng chống thiên tai</w:t>
      </w:r>
      <w:r>
        <w:rPr>
          <w:spacing w:val="2"/>
          <w:sz w:val="26"/>
          <w:szCs w:val="26"/>
        </w:rPr>
        <w:t xml:space="preserve"> trong mùa mưa lũ năm 2026, Sở Y tế </w:t>
      </w:r>
      <w:r>
        <w:rPr>
          <w:spacing w:val="2"/>
          <w:sz w:val="26"/>
          <w:szCs w:val="26"/>
          <w:lang w:val="en-US"/>
        </w:rPr>
        <w:t xml:space="preserve">có ý kiến như </w:t>
      </w:r>
      <w:r>
        <w:rPr>
          <w:spacing w:val="2"/>
          <w:sz w:val="26"/>
          <w:szCs w:val="26"/>
        </w:rPr>
        <w:t>sau:</w:t>
      </w:r>
    </w:p>
    <w:p>
      <w:pPr>
        <w:spacing w:before="120" w:after="120"/>
        <w:jc w:val="both"/>
        <w:rPr>
          <w:spacing w:val="2"/>
          <w:sz w:val="26"/>
          <w:szCs w:val="26"/>
          <w:lang w:val="en-US"/>
        </w:rPr>
      </w:pPr>
      <w:r>
        <w:rPr>
          <w:spacing w:val="2"/>
          <w:sz w:val="26"/>
          <w:szCs w:val="26"/>
          <w:lang w:val="en-US"/>
        </w:rPr>
        <w:tab/>
        <w:t>1. Yêu cầu các Bệnh viện, Trung tâm Y tế, Trung tâm Kiểm soát bệnh tật:</w:t>
      </w:r>
    </w:p>
    <w:p>
      <w:pPr>
        <w:spacing w:before="120" w:after="120"/>
        <w:jc w:val="both"/>
        <w:rPr>
          <w:sz w:val="26"/>
          <w:szCs w:val="26"/>
          <w:lang w:val="en-US"/>
        </w:rPr>
      </w:pPr>
      <w:r>
        <w:rPr>
          <w:spacing w:val="2"/>
          <w:sz w:val="26"/>
          <w:szCs w:val="26"/>
          <w:lang w:val="en-US"/>
        </w:rPr>
        <w:tab/>
      </w:r>
      <w:r>
        <w:rPr>
          <w:sz w:val="26"/>
          <w:szCs w:val="26"/>
          <w:lang w:val="en-US"/>
        </w:rPr>
        <w:t xml:space="preserve">- </w:t>
      </w:r>
      <w:r>
        <w:rPr>
          <w:sz w:val="26"/>
          <w:szCs w:val="26"/>
        </w:rPr>
        <w:t xml:space="preserve">Chủ động rà soát, xây dựng kế hoạch bảo đảm cung ứng đầy đủ </w:t>
      </w:r>
      <w:r>
        <w:rPr>
          <w:sz w:val="26"/>
          <w:szCs w:val="26"/>
          <w:lang w:val="en-US"/>
        </w:rPr>
        <w:t>t</w:t>
      </w:r>
      <w:r>
        <w:rPr>
          <w:spacing w:val="2"/>
          <w:sz w:val="26"/>
          <w:szCs w:val="26"/>
        </w:rPr>
        <w:t>huốc, vật tư y tế</w:t>
      </w:r>
      <w:r>
        <w:rPr>
          <w:spacing w:val="2"/>
          <w:sz w:val="26"/>
          <w:szCs w:val="26"/>
          <w:lang w:val="en-US"/>
        </w:rPr>
        <w:t>, hóa chất, sinh phẩm chẩn đoán invitro phục vụ công tác khám bệnh, chữa bệnh, triển khai các chương trình y tế, phòng chống dịch bệnh, phòng chống thiên tai</w:t>
      </w:r>
      <w:r>
        <w:rPr>
          <w:spacing w:val="2"/>
          <w:sz w:val="26"/>
          <w:szCs w:val="26"/>
        </w:rPr>
        <w:t xml:space="preserve"> trong mùa mưa lũ</w:t>
      </w:r>
      <w:r>
        <w:rPr>
          <w:spacing w:val="2"/>
          <w:sz w:val="26"/>
          <w:szCs w:val="26"/>
          <w:lang w:val="en-US"/>
        </w:rPr>
        <w:t xml:space="preserve">; </w:t>
      </w:r>
      <w:r>
        <w:rPr>
          <w:sz w:val="26"/>
          <w:szCs w:val="26"/>
          <w:lang w:val="en-US"/>
        </w:rPr>
        <w:t xml:space="preserve">chú ý các loại thuốc phòng chống các bệnh thường gặp trong mùa mưa lũ như: Sốt xuất huyết, tiêu chảy cấp, đau mắt đỏ, bệnh ngoài da, uốn ván,.... Mua sắm </w:t>
      </w:r>
      <w:r>
        <w:rPr>
          <w:sz w:val="26"/>
          <w:szCs w:val="26"/>
        </w:rPr>
        <w:t xml:space="preserve">dự trữ </w:t>
      </w:r>
      <w:r>
        <w:rPr>
          <w:sz w:val="26"/>
          <w:szCs w:val="26"/>
          <w:lang w:val="en-US"/>
        </w:rPr>
        <w:t>t</w:t>
      </w:r>
      <w:r>
        <w:rPr>
          <w:spacing w:val="2"/>
          <w:sz w:val="26"/>
          <w:szCs w:val="26"/>
        </w:rPr>
        <w:t>huốc, vật tư y tế</w:t>
      </w:r>
      <w:r>
        <w:rPr>
          <w:spacing w:val="2"/>
          <w:sz w:val="26"/>
          <w:szCs w:val="26"/>
          <w:lang w:val="en-US"/>
        </w:rPr>
        <w:t xml:space="preserve">, hóa chất, sinh phẩm chẩn đoán invitro </w:t>
      </w:r>
      <w:r>
        <w:rPr>
          <w:sz w:val="26"/>
          <w:szCs w:val="26"/>
        </w:rPr>
        <w:t xml:space="preserve">phù hợp với nhu cầu </w:t>
      </w:r>
      <w:r>
        <w:rPr>
          <w:sz w:val="26"/>
          <w:szCs w:val="26"/>
          <w:lang w:val="en-US"/>
        </w:rPr>
        <w:t xml:space="preserve">sử dụng của đơn vị. Tuyệt đối </w:t>
      </w:r>
      <w:r>
        <w:rPr>
          <w:sz w:val="26"/>
          <w:szCs w:val="26"/>
        </w:rPr>
        <w:t xml:space="preserve">không để xảy ra tình trạng thiếu </w:t>
      </w:r>
      <w:r>
        <w:rPr>
          <w:sz w:val="26"/>
          <w:szCs w:val="26"/>
          <w:lang w:val="en-US"/>
        </w:rPr>
        <w:t>t</w:t>
      </w:r>
      <w:r>
        <w:rPr>
          <w:spacing w:val="2"/>
          <w:sz w:val="26"/>
          <w:szCs w:val="26"/>
        </w:rPr>
        <w:t>huốc, vật tư y tế</w:t>
      </w:r>
      <w:r>
        <w:rPr>
          <w:spacing w:val="2"/>
          <w:sz w:val="26"/>
          <w:szCs w:val="26"/>
          <w:lang w:val="en-US"/>
        </w:rPr>
        <w:t xml:space="preserve">, hóa chất, sinh phẩm chẩn đoán invitro </w:t>
      </w:r>
      <w:r>
        <w:rPr>
          <w:sz w:val="26"/>
          <w:szCs w:val="26"/>
        </w:rPr>
        <w:t xml:space="preserve">làm ảnh hưởng đến công tác </w:t>
      </w:r>
      <w:r>
        <w:rPr>
          <w:sz w:val="26"/>
          <w:szCs w:val="26"/>
          <w:lang w:val="en-US"/>
        </w:rPr>
        <w:t>khám bệnh, chữa bệnh</w:t>
      </w:r>
      <w:r>
        <w:rPr>
          <w:sz w:val="26"/>
          <w:szCs w:val="26"/>
        </w:rPr>
        <w:t xml:space="preserve"> và chăm sóc sức khỏe nhân dân</w:t>
      </w:r>
      <w:r>
        <w:rPr>
          <w:sz w:val="26"/>
          <w:szCs w:val="26"/>
          <w:lang w:val="en-US"/>
        </w:rPr>
        <w:t xml:space="preserve"> trong mọi tình huống.</w:t>
      </w:r>
    </w:p>
    <w:p>
      <w:pPr>
        <w:spacing w:before="120" w:after="120"/>
        <w:jc w:val="both"/>
        <w:rPr>
          <w:spacing w:val="2"/>
          <w:sz w:val="26"/>
          <w:szCs w:val="26"/>
          <w:lang w:val="en-US"/>
        </w:rPr>
      </w:pPr>
      <w:r>
        <w:rPr>
          <w:spacing w:val="2"/>
          <w:sz w:val="26"/>
          <w:szCs w:val="26"/>
          <w:lang w:val="en-US"/>
        </w:rPr>
        <w:tab/>
        <w:t>- C</w:t>
      </w:r>
      <w:r>
        <w:rPr>
          <w:spacing w:val="2"/>
          <w:sz w:val="26"/>
          <w:szCs w:val="26"/>
        </w:rPr>
        <w:t>hủ động chuẩn bị đầy đủ cơ số</w:t>
      </w:r>
      <w:r>
        <w:rPr>
          <w:spacing w:val="2"/>
          <w:sz w:val="26"/>
          <w:szCs w:val="26"/>
          <w:lang w:val="en-US"/>
        </w:rPr>
        <w:t>:</w:t>
      </w:r>
      <w:r>
        <w:rPr>
          <w:spacing w:val="2"/>
          <w:sz w:val="26"/>
          <w:szCs w:val="26"/>
        </w:rPr>
        <w:t xml:space="preserve"> </w:t>
      </w:r>
      <w:r>
        <w:rPr>
          <w:spacing w:val="2"/>
          <w:sz w:val="26"/>
          <w:szCs w:val="26"/>
          <w:lang w:val="en-US"/>
        </w:rPr>
        <w:t>T</w:t>
      </w:r>
      <w:r>
        <w:rPr>
          <w:spacing w:val="2"/>
          <w:sz w:val="26"/>
          <w:szCs w:val="26"/>
        </w:rPr>
        <w:t>huốc cấp cứu</w:t>
      </w:r>
      <w:r>
        <w:rPr>
          <w:spacing w:val="2"/>
          <w:sz w:val="26"/>
          <w:szCs w:val="26"/>
          <w:lang w:val="en-US"/>
        </w:rPr>
        <w:t xml:space="preserve">, </w:t>
      </w:r>
      <w:r>
        <w:rPr>
          <w:sz w:val="26"/>
          <w:szCs w:val="26"/>
          <w:lang w:val="en-US"/>
        </w:rPr>
        <w:t>t</w:t>
      </w:r>
      <w:r>
        <w:rPr>
          <w:spacing w:val="2"/>
          <w:sz w:val="26"/>
          <w:szCs w:val="26"/>
        </w:rPr>
        <w:t>huốc</w:t>
      </w:r>
      <w:r>
        <w:rPr>
          <w:spacing w:val="2"/>
          <w:sz w:val="26"/>
          <w:szCs w:val="26"/>
          <w:lang w:val="en-US"/>
        </w:rPr>
        <w:t xml:space="preserve"> thông thường</w:t>
      </w:r>
      <w:r>
        <w:rPr>
          <w:spacing w:val="2"/>
          <w:sz w:val="26"/>
          <w:szCs w:val="26"/>
        </w:rPr>
        <w:t>, vật tư y tế</w:t>
      </w:r>
      <w:r>
        <w:rPr>
          <w:spacing w:val="2"/>
          <w:sz w:val="26"/>
          <w:szCs w:val="26"/>
          <w:lang w:val="en-US"/>
        </w:rPr>
        <w:t>, hóa chất, sinh phẩm chẩn đoán invitro</w:t>
      </w:r>
      <w:r>
        <w:rPr>
          <w:spacing w:val="2"/>
          <w:sz w:val="26"/>
          <w:szCs w:val="26"/>
        </w:rPr>
        <w:t xml:space="preserve"> cần thiết để sẵn sàng ứng phó với các tình huống </w:t>
      </w:r>
      <w:r>
        <w:rPr>
          <w:spacing w:val="2"/>
          <w:sz w:val="26"/>
          <w:szCs w:val="26"/>
          <w:lang w:val="en-US"/>
        </w:rPr>
        <w:t xml:space="preserve">dịch bệnh, </w:t>
      </w:r>
      <w:r>
        <w:rPr>
          <w:spacing w:val="2"/>
          <w:sz w:val="26"/>
          <w:szCs w:val="26"/>
        </w:rPr>
        <w:t>thiên tai, mưa lũ xảy ra trên địa bàn</w:t>
      </w:r>
      <w:r>
        <w:rPr>
          <w:spacing w:val="2"/>
          <w:sz w:val="26"/>
          <w:szCs w:val="26"/>
          <w:lang w:val="en-US"/>
        </w:rPr>
        <w:t xml:space="preserve">, cụ thể: </w:t>
      </w:r>
    </w:p>
    <w:p>
      <w:pPr>
        <w:spacing w:before="120" w:after="120"/>
        <w:ind w:firstLine="709"/>
        <w:jc w:val="both"/>
        <w:rPr>
          <w:spacing w:val="-4"/>
          <w:sz w:val="26"/>
          <w:szCs w:val="26"/>
          <w:lang w:val="en-US"/>
        </w:rPr>
      </w:pPr>
      <w:r>
        <w:rPr>
          <w:spacing w:val="-4"/>
          <w:sz w:val="26"/>
          <w:szCs w:val="26"/>
          <w:lang w:val="en-US"/>
        </w:rPr>
        <w:t>+ Bệnh viện Đa khoa tỉnh: Trên cơ sở thực tiễn hằng năm, dự báo tình hình mưa lũ, thiên tai năm 2026 dự trữ số lượng cơ số phù hợp, chuẩn bị ít nhất 03 cơ số.</w:t>
      </w:r>
    </w:p>
    <w:p>
      <w:pPr>
        <w:spacing w:before="120" w:after="120"/>
        <w:ind w:firstLine="709"/>
        <w:jc w:val="both"/>
        <w:rPr>
          <w:spacing w:val="-4"/>
          <w:sz w:val="26"/>
          <w:szCs w:val="26"/>
          <w:lang w:val="en-US"/>
        </w:rPr>
      </w:pPr>
      <w:r>
        <w:rPr>
          <w:spacing w:val="2"/>
          <w:sz w:val="26"/>
          <w:szCs w:val="26"/>
          <w:lang w:val="en-US"/>
        </w:rPr>
        <w:t xml:space="preserve">+ Trung tâm Kiểm soát bệnh tật tỉnh: </w:t>
      </w:r>
      <w:r>
        <w:rPr>
          <w:spacing w:val="-4"/>
          <w:sz w:val="26"/>
          <w:szCs w:val="26"/>
          <w:lang w:val="en-US"/>
        </w:rPr>
        <w:t>Trên cơ sở thực tiễn hằng năm, dự báo tình hình mưa lũ, thiên tai, dịch bệnh năm 2026 dự trữ số lượng cơ số phù hợp, chuẩn bị ít nhất 03 cơ số.</w:t>
      </w:r>
    </w:p>
    <w:p>
      <w:pPr>
        <w:spacing w:before="120" w:after="120"/>
        <w:jc w:val="both"/>
        <w:rPr>
          <w:spacing w:val="2"/>
          <w:sz w:val="26"/>
          <w:szCs w:val="26"/>
          <w:lang w:val="en-US"/>
        </w:rPr>
      </w:pPr>
      <w:r>
        <w:rPr>
          <w:spacing w:val="2"/>
          <w:sz w:val="26"/>
          <w:szCs w:val="26"/>
          <w:lang w:val="en-US"/>
        </w:rPr>
        <w:tab/>
        <w:t>+ Tại Trung tâm Y tế: Căn cứ vào tình hình thực tế tại đơn vị, số xã/phường được giao phụ trách công tác Y tế, chuẩn bị ít nhất 03 cơ số.</w:t>
      </w:r>
    </w:p>
    <w:p>
      <w:pPr>
        <w:spacing w:before="120" w:after="120"/>
        <w:jc w:val="both"/>
        <w:rPr>
          <w:spacing w:val="2"/>
          <w:sz w:val="26"/>
          <w:szCs w:val="26"/>
          <w:lang w:val="en-US"/>
        </w:rPr>
      </w:pPr>
      <w:r>
        <w:rPr>
          <w:spacing w:val="2"/>
          <w:sz w:val="26"/>
          <w:szCs w:val="26"/>
          <w:lang w:val="en-US"/>
        </w:rPr>
        <w:tab/>
        <w:t>+ Tại Trạm Y tế: Căn cứ vào tình hình thực tế địa bàn xã/phường, khoảng cách đến Trung tâm Y tế, khoảng cách từ Trạm Y tế đến các Điểm trạm, điều kiện giao thông,…..…mỗi Trạm Y tế chuẩn bị ít nhất 01 cơ số.</w:t>
      </w:r>
    </w:p>
    <w:p>
      <w:pPr>
        <w:spacing w:before="120" w:after="120"/>
        <w:jc w:val="both"/>
        <w:rPr>
          <w:spacing w:val="2"/>
          <w:sz w:val="26"/>
          <w:szCs w:val="26"/>
          <w:lang w:val="en-US"/>
        </w:rPr>
      </w:pPr>
      <w:r>
        <w:rPr>
          <w:spacing w:val="2"/>
          <w:sz w:val="26"/>
          <w:szCs w:val="26"/>
          <w:lang w:val="en-US"/>
        </w:rPr>
        <w:lastRenderedPageBreak/>
        <w:tab/>
        <w:t>- Tăng cường công tác tuyên truyền, hướng dẫn người dân các biện pháp phòng bệnh thường gặp sau mưa lũ, thiên tai. Chủ động phát hiện sớm và điều trị kịp thời các trường hợp mắc bệnh, dịch; không để xảy ra bùng phát dịch bệnh sau mưa lũ, đồng thời chủ động sẵn sàng thu dung, điều trị bệnh nhân mắc các bệnh sau mưa lũ, thiên tai.</w:t>
      </w:r>
    </w:p>
    <w:p>
      <w:pPr>
        <w:spacing w:before="120" w:after="120"/>
        <w:jc w:val="both"/>
        <w:rPr>
          <w:spacing w:val="2"/>
          <w:sz w:val="26"/>
          <w:szCs w:val="26"/>
          <w:lang w:val="en-US"/>
        </w:rPr>
      </w:pPr>
      <w:r>
        <w:rPr>
          <w:spacing w:val="2"/>
          <w:sz w:val="26"/>
          <w:szCs w:val="26"/>
          <w:lang w:val="en-US"/>
        </w:rPr>
        <w:tab/>
        <w:t>2. Đề nghị UBND các xã, phường</w:t>
      </w:r>
    </w:p>
    <w:p>
      <w:pPr>
        <w:spacing w:before="120" w:after="120"/>
        <w:ind w:firstLine="709"/>
        <w:jc w:val="both"/>
        <w:rPr>
          <w:spacing w:val="2"/>
          <w:sz w:val="26"/>
          <w:szCs w:val="26"/>
          <w:lang w:val="en-US"/>
        </w:rPr>
      </w:pPr>
      <w:r>
        <w:rPr>
          <w:spacing w:val="2"/>
          <w:sz w:val="26"/>
          <w:szCs w:val="26"/>
          <w:lang w:val="en-US"/>
        </w:rPr>
        <w:t>- Chỉ đạo, hướng dẫn c</w:t>
      </w:r>
      <w:r>
        <w:rPr>
          <w:sz w:val="26"/>
          <w:szCs w:val="26"/>
          <w:lang w:val="en-US"/>
        </w:rPr>
        <w:t xml:space="preserve">ác cơ sở kinh doanh dược trên địa bàn chủ động xây dựng kế hoạch dự trữ, </w:t>
      </w:r>
      <w:r>
        <w:rPr>
          <w:spacing w:val="2"/>
          <w:sz w:val="26"/>
          <w:szCs w:val="26"/>
          <w:lang w:val="en-US"/>
        </w:rPr>
        <w:t xml:space="preserve">đảm bảo cung ứng đủ </w:t>
      </w:r>
      <w:r>
        <w:rPr>
          <w:sz w:val="26"/>
          <w:szCs w:val="26"/>
          <w:lang w:val="en-US"/>
        </w:rPr>
        <w:t>t</w:t>
      </w:r>
      <w:r>
        <w:rPr>
          <w:spacing w:val="2"/>
          <w:sz w:val="26"/>
          <w:szCs w:val="26"/>
        </w:rPr>
        <w:t>huốc, vật tư y tế</w:t>
      </w:r>
      <w:r>
        <w:rPr>
          <w:spacing w:val="2"/>
          <w:sz w:val="26"/>
          <w:szCs w:val="26"/>
          <w:lang w:val="en-US"/>
        </w:rPr>
        <w:t>, hóa chất, sinh phẩm chẩn đoán invitro phục vụ công tác khám bệnh, chữa bệnh cho người</w:t>
      </w:r>
      <w:r>
        <w:rPr>
          <w:sz w:val="26"/>
          <w:szCs w:val="26"/>
          <w:lang w:val="en-US"/>
        </w:rPr>
        <w:t xml:space="preserve"> trên địa bàn; chú ý các loại thuốc phòng chống các bệnh thường gặp trong mùa mưa lũ như: sốt xuất huyết, tiêu chảy cấp, đau mắt đỏ, bệnh ngoài da, uốn ván,... Đảm bảo chất lượng thuốc, giá cả hợp lý, không để xảy ra tình trạng thiếu thuốc hoặc đầu cơ, tăng giá thuốc bất hợp lý. Phối hợp chặt chẽ với các cơ sở khám chữa bệnh để kịp thời cung ứng </w:t>
      </w:r>
      <w:r>
        <w:rPr>
          <w:spacing w:val="2"/>
          <w:sz w:val="26"/>
          <w:szCs w:val="26"/>
          <w:lang w:val="en-US"/>
        </w:rPr>
        <w:t xml:space="preserve">đủ </w:t>
      </w:r>
      <w:r>
        <w:rPr>
          <w:sz w:val="26"/>
          <w:szCs w:val="26"/>
          <w:lang w:val="en-US"/>
        </w:rPr>
        <w:t>t</w:t>
      </w:r>
      <w:r>
        <w:rPr>
          <w:spacing w:val="2"/>
          <w:sz w:val="26"/>
          <w:szCs w:val="26"/>
        </w:rPr>
        <w:t>huốc, vật tư y tế</w:t>
      </w:r>
      <w:r>
        <w:rPr>
          <w:spacing w:val="2"/>
          <w:sz w:val="26"/>
          <w:szCs w:val="26"/>
          <w:lang w:val="en-US"/>
        </w:rPr>
        <w:t>, hóa chất, sinh phẩm chẩn đoán invitro phục vụ công tác khám bệnh, chữa bệnh cho người</w:t>
      </w:r>
      <w:r>
        <w:rPr>
          <w:sz w:val="26"/>
          <w:szCs w:val="26"/>
          <w:lang w:val="en-US"/>
        </w:rPr>
        <w:t xml:space="preserve"> khi có yêu cầu.</w:t>
      </w:r>
    </w:p>
    <w:p>
      <w:pPr>
        <w:spacing w:before="120" w:after="120"/>
        <w:jc w:val="both"/>
        <w:rPr>
          <w:spacing w:val="2"/>
          <w:sz w:val="26"/>
          <w:szCs w:val="26"/>
          <w:lang w:val="en-US"/>
        </w:rPr>
      </w:pPr>
      <w:r>
        <w:rPr>
          <w:spacing w:val="2"/>
          <w:sz w:val="26"/>
          <w:szCs w:val="26"/>
          <w:lang w:val="en-US"/>
        </w:rPr>
        <w:tab/>
        <w:t xml:space="preserve">- Chỉ đạo Phòng Văn hóa - Xã hội tăng cường kiểm tra, giám sát việc thực hiện dự trữ, đảm bảo cung ứng </w:t>
      </w:r>
      <w:r>
        <w:rPr>
          <w:sz w:val="26"/>
          <w:szCs w:val="26"/>
          <w:lang w:val="en-US"/>
        </w:rPr>
        <w:t>t</w:t>
      </w:r>
      <w:r>
        <w:rPr>
          <w:spacing w:val="2"/>
          <w:sz w:val="26"/>
          <w:szCs w:val="26"/>
        </w:rPr>
        <w:t>huốc, vật tư y tế</w:t>
      </w:r>
      <w:r>
        <w:rPr>
          <w:spacing w:val="2"/>
          <w:sz w:val="26"/>
          <w:szCs w:val="26"/>
          <w:lang w:val="en-US"/>
        </w:rPr>
        <w:t xml:space="preserve">, hóa chất, sinh phẩm chẩn đoán invitro phục vụ công tác khám bệnh, chữa bệnh cho người tại các cơ sở kinh doanh dược trên địa bàn quản lý. Tổng hợp báo cáo nhanh về Sở Y tế khi có nguy cơ không cung ứng đủ </w:t>
      </w:r>
      <w:r>
        <w:rPr>
          <w:sz w:val="26"/>
          <w:szCs w:val="26"/>
          <w:lang w:val="en-US"/>
        </w:rPr>
        <w:t>t</w:t>
      </w:r>
      <w:r>
        <w:rPr>
          <w:spacing w:val="2"/>
          <w:sz w:val="26"/>
          <w:szCs w:val="26"/>
        </w:rPr>
        <w:t>huốc, vật tư y tế</w:t>
      </w:r>
      <w:r>
        <w:rPr>
          <w:spacing w:val="2"/>
          <w:sz w:val="26"/>
          <w:szCs w:val="26"/>
          <w:lang w:val="en-US"/>
        </w:rPr>
        <w:t>, hóa chất, sinh phẩm chẩn đoán invitro phục vụ công tác khám bệnh, chữa bệnh hoặc các tình huống y tế phát sinh do thiên tai, mưa lũ.</w:t>
      </w:r>
    </w:p>
    <w:p>
      <w:pPr>
        <w:spacing w:before="120" w:after="120"/>
        <w:jc w:val="both"/>
        <w:rPr>
          <w:w w:val="105"/>
          <w:sz w:val="26"/>
          <w:szCs w:val="26"/>
          <w:lang w:val="en-US"/>
        </w:rPr>
      </w:pPr>
      <w:r>
        <w:rPr>
          <w:spacing w:val="2"/>
          <w:sz w:val="26"/>
          <w:szCs w:val="26"/>
        </w:rPr>
        <w:tab/>
      </w:r>
      <w:r>
        <w:rPr>
          <w:w w:val="105"/>
          <w:sz w:val="26"/>
          <w:szCs w:val="26"/>
          <w:lang w:val="en-US"/>
        </w:rPr>
        <w:t xml:space="preserve">Trong quá trình thực hiện nếu có khó khăn, vướng mắc, đề nghị các đơn vị báo cáo về Sở Y tế (Phòng Nghiệp vụ Y - Dược) để được hỗ trợ, hướng dẫn kịp thời. </w:t>
      </w:r>
    </w:p>
    <w:p>
      <w:pPr>
        <w:spacing w:before="120" w:after="120"/>
        <w:ind w:firstLine="709"/>
        <w:jc w:val="both"/>
        <w:rPr>
          <w:spacing w:val="-4"/>
          <w:w w:val="105"/>
          <w:sz w:val="26"/>
          <w:szCs w:val="26"/>
          <w:lang w:val="en-US"/>
        </w:rPr>
      </w:pPr>
      <w:r>
        <w:rPr>
          <w:spacing w:val="-4"/>
          <w:w w:val="105"/>
          <w:sz w:val="26"/>
          <w:szCs w:val="26"/>
          <w:lang w:val="en-US"/>
        </w:rPr>
        <w:t>Sở Y tế đề nghị các đơn vị triển khai thực hiện, đảm bảo nội dung yêu cầu./.</w:t>
      </w:r>
    </w:p>
    <w:p>
      <w:pPr>
        <w:jc w:val="both"/>
        <w:rPr>
          <w:spacing w:val="-4"/>
          <w:w w:val="105"/>
          <w:sz w:val="10"/>
          <w:szCs w:val="10"/>
          <w:lang w:val="en-US"/>
        </w:rPr>
      </w:pPr>
    </w:p>
    <w:tbl>
      <w:tblPr>
        <w:tblW w:w="9395" w:type="dxa"/>
        <w:tblInd w:w="103" w:type="dxa"/>
        <w:tblLook w:val="01E0" w:firstRow="1" w:lastRow="1" w:firstColumn="1" w:lastColumn="1" w:noHBand="0" w:noVBand="0"/>
      </w:tblPr>
      <w:tblGrid>
        <w:gridCol w:w="5250"/>
        <w:gridCol w:w="4145"/>
      </w:tblGrid>
      <w:tr>
        <w:trPr>
          <w:trHeight w:val="709"/>
        </w:trPr>
        <w:tc>
          <w:tcPr>
            <w:tcW w:w="5250" w:type="dxa"/>
          </w:tcPr>
          <w:p>
            <w:pPr>
              <w:rPr>
                <w:i/>
                <w:sz w:val="24"/>
                <w:szCs w:val="24"/>
              </w:rPr>
            </w:pPr>
            <w:r>
              <w:rPr>
                <w:b/>
                <w:bCs/>
                <w:i/>
                <w:iCs/>
                <w:sz w:val="24"/>
                <w:szCs w:val="24"/>
              </w:rPr>
              <w:t>Nơi nhận:</w:t>
            </w:r>
            <w:r>
              <w:rPr>
                <w:i/>
                <w:sz w:val="24"/>
                <w:szCs w:val="24"/>
              </w:rPr>
              <w:t xml:space="preserve">                                               </w:t>
            </w:r>
          </w:p>
          <w:p>
            <w:r>
              <w:t xml:space="preserve">- </w:t>
            </w:r>
            <w:r>
              <w:rPr>
                <w:iCs/>
              </w:rPr>
              <w:t>Như trên</w:t>
            </w:r>
            <w:r>
              <w:t>;</w:t>
            </w:r>
          </w:p>
          <w:p>
            <w:pPr>
              <w:rPr>
                <w:lang w:val="en-US"/>
              </w:rPr>
            </w:pPr>
            <w:r>
              <w:rPr>
                <w:lang w:val="en-US"/>
              </w:rPr>
              <w:t>- UBND tỉnh (B/c);</w:t>
            </w:r>
          </w:p>
          <w:p>
            <w:pPr>
              <w:rPr>
                <w:i/>
                <w:sz w:val="24"/>
                <w:szCs w:val="24"/>
              </w:rPr>
            </w:pPr>
            <w:r>
              <w:t>- Lãnh đạo Sở Y tế;</w:t>
            </w:r>
          </w:p>
          <w:p>
            <w:pPr>
              <w:rPr>
                <w:i/>
                <w:sz w:val="24"/>
                <w:szCs w:val="24"/>
              </w:rPr>
            </w:pPr>
            <w:r>
              <w:t xml:space="preserve">- </w:t>
            </w:r>
            <w:r>
              <w:rPr>
                <w:lang w:val="en-US"/>
              </w:rPr>
              <w:t>Các phòng chức năng</w:t>
            </w:r>
            <w:r>
              <w:t xml:space="preserve"> Sở Y tế;</w:t>
            </w:r>
          </w:p>
          <w:p>
            <w:pPr>
              <w:rPr>
                <w:i/>
                <w:sz w:val="24"/>
                <w:szCs w:val="24"/>
              </w:rPr>
            </w:pPr>
            <w:r>
              <w:t>- Website Sở Y tế;</w:t>
            </w:r>
          </w:p>
          <w:p>
            <w:pPr>
              <w:rPr>
                <w:i/>
                <w:sz w:val="24"/>
                <w:szCs w:val="24"/>
              </w:rPr>
            </w:pPr>
            <w:r>
              <w:t>- Lưu VT, NVYD.</w:t>
            </w:r>
          </w:p>
        </w:tc>
        <w:tc>
          <w:tcPr>
            <w:tcW w:w="4145" w:type="dxa"/>
          </w:tcPr>
          <w:p>
            <w:pPr>
              <w:pStyle w:val="Chun"/>
              <w:jc w:val="center"/>
              <w:rPr>
                <w:rFonts w:ascii="Times New Roman" w:hAnsi="Times New Roman"/>
                <w:b/>
                <w:bCs/>
                <w:sz w:val="26"/>
                <w:szCs w:val="28"/>
              </w:rPr>
            </w:pPr>
            <w:r>
              <w:rPr>
                <w:rFonts w:ascii="Times New Roman" w:hAnsi="Times New Roman"/>
                <w:b/>
                <w:bCs/>
                <w:sz w:val="26"/>
                <w:szCs w:val="28"/>
              </w:rPr>
              <w:t xml:space="preserve">KT. </w:t>
            </w:r>
            <w:r>
              <w:rPr>
                <w:rFonts w:ascii="Times New Roman" w:hAnsi="Times New Roman"/>
                <w:b/>
                <w:bCs/>
                <w:sz w:val="26"/>
                <w:szCs w:val="28"/>
                <w:lang w:val="vi-VN"/>
              </w:rPr>
              <w:t>GIÁM ĐỐC</w:t>
            </w:r>
          </w:p>
          <w:p>
            <w:pPr>
              <w:pStyle w:val="Chun"/>
              <w:jc w:val="center"/>
              <w:rPr>
                <w:rFonts w:ascii="Times New Roman" w:hAnsi="Times New Roman"/>
                <w:bCs/>
                <w:iCs/>
                <w:sz w:val="26"/>
                <w:szCs w:val="28"/>
              </w:rPr>
            </w:pPr>
            <w:r>
              <w:rPr>
                <w:rFonts w:ascii="Times New Roman" w:hAnsi="Times New Roman"/>
                <w:b/>
                <w:bCs/>
                <w:sz w:val="26"/>
                <w:szCs w:val="28"/>
              </w:rPr>
              <w:t>PHÓ GIÁM ĐỐC</w:t>
            </w:r>
          </w:p>
          <w:p>
            <w:pPr>
              <w:jc w:val="center"/>
              <w:rPr>
                <w:b/>
                <w:bCs/>
                <w:sz w:val="26"/>
                <w:szCs w:val="28"/>
              </w:rPr>
            </w:pPr>
          </w:p>
          <w:p>
            <w:pPr>
              <w:jc w:val="center"/>
              <w:rPr>
                <w:b/>
                <w:bCs/>
                <w:sz w:val="26"/>
                <w:szCs w:val="28"/>
              </w:rPr>
            </w:pPr>
          </w:p>
          <w:p>
            <w:pPr>
              <w:jc w:val="center"/>
              <w:rPr>
                <w:b/>
                <w:bCs/>
                <w:sz w:val="26"/>
                <w:szCs w:val="28"/>
              </w:rPr>
            </w:pPr>
          </w:p>
          <w:p>
            <w:pPr>
              <w:jc w:val="center"/>
              <w:rPr>
                <w:b/>
                <w:bCs/>
                <w:sz w:val="26"/>
                <w:szCs w:val="28"/>
              </w:rPr>
            </w:pPr>
            <w:bookmarkStart w:id="0" w:name="_GoBack"/>
            <w:bookmarkEnd w:id="0"/>
          </w:p>
          <w:p>
            <w:pPr>
              <w:spacing w:before="120"/>
              <w:jc w:val="center"/>
              <w:rPr>
                <w:b/>
                <w:bCs/>
                <w:sz w:val="26"/>
                <w:szCs w:val="28"/>
              </w:rPr>
            </w:pPr>
          </w:p>
          <w:p>
            <w:pPr>
              <w:spacing w:before="360"/>
              <w:jc w:val="center"/>
              <w:rPr>
                <w:b/>
                <w:sz w:val="26"/>
                <w:szCs w:val="26"/>
              </w:rPr>
            </w:pPr>
            <w:r>
              <w:rPr>
                <w:b/>
                <w:bCs/>
                <w:iCs/>
                <w:sz w:val="26"/>
                <w:szCs w:val="28"/>
              </w:rPr>
              <w:t>Phạm Văn Mẫn</w:t>
            </w:r>
            <w:r>
              <w:rPr>
                <w:b/>
                <w:sz w:val="26"/>
                <w:szCs w:val="28"/>
              </w:rPr>
              <w:t xml:space="preserve"> </w:t>
            </w:r>
          </w:p>
        </w:tc>
      </w:tr>
    </w:tbl>
    <w:p>
      <w:pPr>
        <w:jc w:val="both"/>
        <w:rPr>
          <w:sz w:val="28"/>
          <w:szCs w:val="28"/>
          <w:lang w:val="en-US"/>
        </w:rPr>
      </w:pPr>
    </w:p>
    <w:sectPr>
      <w:headerReference w:type="default" r:id="rId7"/>
      <w:pgSz w:w="12240" w:h="15840"/>
      <w:pgMar w:top="1134" w:right="1134"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EF" w:usb1="C0007841" w:usb2="00000009" w:usb3="00000000" w:csb0="000001FF" w:csb1="00000000"/>
  </w:font>
  <w:font w:name="Calibri">
    <w:panose1 w:val="020F0502020204030204"/>
    <w:charset w:val="00"/>
    <w:family w:val="swiss"/>
    <w:pitch w:val="variable"/>
    <w:sig w:usb0="E4002EFF" w:usb1="C000247B" w:usb2="00000009" w:usb3="00000000" w:csb0="000001FF" w:csb1="00000000"/>
  </w:font>
  <w:font w:name=".VnTime">
    <w:panose1 w:val="020B7200000000000000"/>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256179301"/>
      <w:docPartObj>
        <w:docPartGallery w:val="Page Numbers (Top of Page)"/>
        <w:docPartUnique/>
      </w:docPartObj>
    </w:sdtPr>
    <w:sdtEndPr>
      <w:rPr>
        <w:noProof/>
        <w:sz w:val="28"/>
        <w:szCs w:val="28"/>
      </w:rPr>
    </w:sdtEndPr>
    <w:sdtContent>
      <w:p>
        <w:pPr>
          <w:pStyle w:val="Header"/>
          <w:jc w:val="center"/>
          <w:rPr>
            <w:sz w:val="28"/>
            <w:szCs w:val="28"/>
          </w:rPr>
        </w:pPr>
        <w:r>
          <w:rPr>
            <w:sz w:val="28"/>
            <w:szCs w:val="28"/>
          </w:rPr>
          <w:fldChar w:fldCharType="begin"/>
        </w:r>
        <w:r>
          <w:rPr>
            <w:sz w:val="28"/>
            <w:szCs w:val="28"/>
          </w:rPr>
          <w:instrText xml:space="preserve"> PAGE   \* MERGEFORMAT </w:instrText>
        </w:r>
        <w:r>
          <w:rPr>
            <w:sz w:val="28"/>
            <w:szCs w:val="28"/>
          </w:rPr>
          <w:fldChar w:fldCharType="separate"/>
        </w:r>
        <w:r>
          <w:rPr>
            <w:noProof/>
            <w:sz w:val="28"/>
            <w:szCs w:val="28"/>
          </w:rPr>
          <w:t>2</w:t>
        </w:r>
        <w:r>
          <w:rPr>
            <w:noProof/>
            <w:sz w:val="28"/>
            <w:szCs w:val="28"/>
          </w:rPr>
          <w:fldChar w:fldCharType="end"/>
        </w:r>
      </w:p>
    </w:sdtContent>
  </w:sdt>
  <w:p>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36549E6"/>
    <w:multiLevelType w:val="hybridMultilevel"/>
    <w:tmpl w:val="9F84FDF6"/>
    <w:lvl w:ilvl="0" w:tplc="74241A2E">
      <w:start w:val="1"/>
      <w:numFmt w:val="decimal"/>
      <w:lvlText w:val="%1."/>
      <w:lvlJc w:val="left"/>
      <w:pPr>
        <w:ind w:left="143" w:hanging="315"/>
      </w:pPr>
      <w:rPr>
        <w:rFonts w:ascii="Times New Roman" w:eastAsia="Times New Roman" w:hAnsi="Times New Roman" w:cs="Times New Roman" w:hint="default"/>
        <w:b/>
        <w:bCs/>
        <w:i w:val="0"/>
        <w:iCs w:val="0"/>
        <w:spacing w:val="0"/>
        <w:w w:val="100"/>
        <w:sz w:val="28"/>
        <w:szCs w:val="28"/>
        <w:lang w:val="vi" w:eastAsia="en-US" w:bidi="ar-SA"/>
      </w:rPr>
    </w:lvl>
    <w:lvl w:ilvl="1" w:tplc="DB0AA186">
      <w:numFmt w:val="bullet"/>
      <w:lvlText w:val="-"/>
      <w:lvlJc w:val="left"/>
      <w:pPr>
        <w:ind w:left="143" w:hanging="173"/>
      </w:pPr>
      <w:rPr>
        <w:rFonts w:ascii="Times New Roman" w:eastAsia="Times New Roman" w:hAnsi="Times New Roman" w:cs="Times New Roman" w:hint="default"/>
        <w:b w:val="0"/>
        <w:bCs w:val="0"/>
        <w:i w:val="0"/>
        <w:iCs w:val="0"/>
        <w:spacing w:val="0"/>
        <w:w w:val="100"/>
        <w:sz w:val="28"/>
        <w:szCs w:val="28"/>
        <w:lang w:val="vi" w:eastAsia="en-US" w:bidi="ar-SA"/>
      </w:rPr>
    </w:lvl>
    <w:lvl w:ilvl="2" w:tplc="3B92C844">
      <w:numFmt w:val="bullet"/>
      <w:lvlText w:val="•"/>
      <w:lvlJc w:val="left"/>
      <w:pPr>
        <w:ind w:left="1983" w:hanging="173"/>
      </w:pPr>
      <w:rPr>
        <w:rFonts w:hint="default"/>
        <w:lang w:val="vi" w:eastAsia="en-US" w:bidi="ar-SA"/>
      </w:rPr>
    </w:lvl>
    <w:lvl w:ilvl="3" w:tplc="66EE0FA2">
      <w:numFmt w:val="bullet"/>
      <w:lvlText w:val="•"/>
      <w:lvlJc w:val="left"/>
      <w:pPr>
        <w:ind w:left="2904" w:hanging="173"/>
      </w:pPr>
      <w:rPr>
        <w:rFonts w:hint="default"/>
        <w:lang w:val="vi" w:eastAsia="en-US" w:bidi="ar-SA"/>
      </w:rPr>
    </w:lvl>
    <w:lvl w:ilvl="4" w:tplc="0E02A624">
      <w:numFmt w:val="bullet"/>
      <w:lvlText w:val="•"/>
      <w:lvlJc w:val="left"/>
      <w:pPr>
        <w:ind w:left="3826" w:hanging="173"/>
      </w:pPr>
      <w:rPr>
        <w:rFonts w:hint="default"/>
        <w:lang w:val="vi" w:eastAsia="en-US" w:bidi="ar-SA"/>
      </w:rPr>
    </w:lvl>
    <w:lvl w:ilvl="5" w:tplc="2EF03592">
      <w:numFmt w:val="bullet"/>
      <w:lvlText w:val="•"/>
      <w:lvlJc w:val="left"/>
      <w:pPr>
        <w:ind w:left="4747" w:hanging="173"/>
      </w:pPr>
      <w:rPr>
        <w:rFonts w:hint="default"/>
        <w:lang w:val="vi" w:eastAsia="en-US" w:bidi="ar-SA"/>
      </w:rPr>
    </w:lvl>
    <w:lvl w:ilvl="6" w:tplc="8624AAA2">
      <w:numFmt w:val="bullet"/>
      <w:lvlText w:val="•"/>
      <w:lvlJc w:val="left"/>
      <w:pPr>
        <w:ind w:left="5669" w:hanging="173"/>
      </w:pPr>
      <w:rPr>
        <w:rFonts w:hint="default"/>
        <w:lang w:val="vi" w:eastAsia="en-US" w:bidi="ar-SA"/>
      </w:rPr>
    </w:lvl>
    <w:lvl w:ilvl="7" w:tplc="79449DD0">
      <w:numFmt w:val="bullet"/>
      <w:lvlText w:val="•"/>
      <w:lvlJc w:val="left"/>
      <w:pPr>
        <w:ind w:left="6590" w:hanging="173"/>
      </w:pPr>
      <w:rPr>
        <w:rFonts w:hint="default"/>
        <w:lang w:val="vi" w:eastAsia="en-US" w:bidi="ar-SA"/>
      </w:rPr>
    </w:lvl>
    <w:lvl w:ilvl="8" w:tplc="BB20501C">
      <w:numFmt w:val="bullet"/>
      <w:lvlText w:val="•"/>
      <w:lvlJc w:val="left"/>
      <w:pPr>
        <w:ind w:left="7512" w:hanging="173"/>
      </w:pPr>
      <w:rPr>
        <w:rFonts w:hint="default"/>
        <w:lang w:val="vi" w:eastAsia="en-US" w:bidi="ar-S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revisionView w:inkAnnotations="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7FD5D7D-A9ED-48E8-802F-60FB3C4548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HAnsi" w:hAnsi="Times New Roman" w:cstheme="minorBidi"/>
        <w:sz w:val="24"/>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1"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pPr>
      <w:widowControl w:val="0"/>
      <w:autoSpaceDE w:val="0"/>
      <w:autoSpaceDN w:val="0"/>
      <w:spacing w:after="0" w:line="240" w:lineRule="auto"/>
    </w:pPr>
    <w:rPr>
      <w:rFonts w:eastAsia="Times New Roman" w:cs="Times New Roman"/>
      <w:sz w:val="22"/>
      <w:lang w:val="v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qFormat/>
    <w:pPr>
      <w:spacing w:before="119"/>
      <w:ind w:left="143"/>
      <w:jc w:val="both"/>
    </w:pPr>
    <w:rPr>
      <w:sz w:val="28"/>
      <w:szCs w:val="28"/>
    </w:rPr>
  </w:style>
  <w:style w:type="character" w:customStyle="1" w:styleId="BodyTextChar">
    <w:name w:val="Body Text Char"/>
    <w:basedOn w:val="DefaultParagraphFont"/>
    <w:link w:val="BodyText"/>
    <w:uiPriority w:val="1"/>
    <w:rPr>
      <w:rFonts w:eastAsia="Times New Roman" w:cs="Times New Roman"/>
      <w:sz w:val="28"/>
      <w:szCs w:val="28"/>
      <w:lang w:val="vi"/>
    </w:rPr>
  </w:style>
  <w:style w:type="table" w:styleId="TableGrid">
    <w:name w:val="Table Grid"/>
    <w:basedOn w:val="TableNormal"/>
    <w:uiPriority w:val="39"/>
    <w:pPr>
      <w:widowControl w:val="0"/>
      <w:autoSpaceDE w:val="0"/>
      <w:autoSpaceDN w:val="0"/>
      <w:spacing w:after="0" w:line="240" w:lineRule="auto"/>
    </w:pPr>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1"/>
    <w:qFormat/>
    <w:pPr>
      <w:spacing w:before="119"/>
      <w:ind w:left="143" w:firstLine="719"/>
      <w:jc w:val="both"/>
    </w:pPr>
  </w:style>
  <w:style w:type="paragraph" w:customStyle="1" w:styleId="Chun">
    <w:name w:val="Chuẩn"/>
    <w:qFormat/>
    <w:pPr>
      <w:spacing w:after="0" w:line="240" w:lineRule="auto"/>
    </w:pPr>
    <w:rPr>
      <w:rFonts w:ascii=".VnTime" w:eastAsia="Times New Roman" w:hAnsi=".VnTime" w:cs="Times New Roman"/>
      <w:sz w:val="28"/>
      <w:szCs w:val="20"/>
    </w:rPr>
  </w:style>
  <w:style w:type="paragraph" w:styleId="Header">
    <w:name w:val="header"/>
    <w:basedOn w:val="Normal"/>
    <w:link w:val="HeaderChar"/>
    <w:uiPriority w:val="99"/>
    <w:unhideWhenUsed/>
    <w:pPr>
      <w:tabs>
        <w:tab w:val="center" w:pos="4680"/>
        <w:tab w:val="right" w:pos="9360"/>
      </w:tabs>
    </w:pPr>
  </w:style>
  <w:style w:type="character" w:customStyle="1" w:styleId="HeaderChar">
    <w:name w:val="Header Char"/>
    <w:basedOn w:val="DefaultParagraphFont"/>
    <w:link w:val="Header"/>
    <w:uiPriority w:val="99"/>
    <w:rPr>
      <w:rFonts w:eastAsia="Times New Roman" w:cs="Times New Roman"/>
      <w:sz w:val="22"/>
      <w:lang w:val="vi"/>
    </w:rPr>
  </w:style>
  <w:style w:type="paragraph" w:styleId="Footer">
    <w:name w:val="footer"/>
    <w:basedOn w:val="Normal"/>
    <w:link w:val="FooterChar"/>
    <w:uiPriority w:val="99"/>
    <w:unhideWhenUsed/>
    <w:pPr>
      <w:tabs>
        <w:tab w:val="center" w:pos="4680"/>
        <w:tab w:val="right" w:pos="9360"/>
      </w:tabs>
    </w:pPr>
  </w:style>
  <w:style w:type="character" w:customStyle="1" w:styleId="FooterChar">
    <w:name w:val="Footer Char"/>
    <w:basedOn w:val="DefaultParagraphFont"/>
    <w:link w:val="Footer"/>
    <w:uiPriority w:val="99"/>
    <w:rPr>
      <w:rFonts w:eastAsia="Times New Roman" w:cs="Times New Roman"/>
      <w:sz w:val="22"/>
      <w:lang w:val="v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56</TotalTime>
  <Pages>1</Pages>
  <Words>683</Words>
  <Characters>3895</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4569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THANH GIONG</cp:lastModifiedBy>
  <cp:revision>11</cp:revision>
  <dcterms:created xsi:type="dcterms:W3CDTF">2026-05-27T03:32:00Z</dcterms:created>
  <dcterms:modified xsi:type="dcterms:W3CDTF">2026-05-27T06:49:00Z</dcterms:modified>
</cp:coreProperties>
</file>