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9322" w:type="dxa"/>
        <w:jc w:val="start"/>
        <w:tblInd w:w="-34" w:type="dxa"/>
        <w:tblLayout w:type="fixed"/>
        <w:tblCellMar>
          <w:top w:w="0" w:type="dxa"/>
          <w:start w:w="108" w:type="dxa"/>
          <w:bottom w:w="0" w:type="dxa"/>
          <w:end w:w="108" w:type="dxa"/>
        </w:tblCellMar>
        <w:tblLook w:val="01e0" w:noHBand="0" w:noVBand="0" w:firstColumn="1" w:lastRow="1" w:lastColumn="1" w:firstRow="1"/>
      </w:tblPr>
      <w:tblGrid>
        <w:gridCol w:w="4962"/>
        <w:gridCol w:w="4360"/>
      </w:tblGrid>
      <w:tr>
        <w:trPr/>
        <w:tc>
          <w:tcPr>
            <w:tcW w:w="4962" w:type="dxa"/>
            <w:tcBorders/>
          </w:tcPr>
          <w:p>
            <w:pPr>
              <w:pStyle w:val="Normal"/>
              <w:spacing w:lineRule="auto" w:line="240" w:before="0" w:after="0"/>
              <w:jc w:val="center"/>
              <w:rPr>
                <w:rFonts w:cs="Times New Roman"/>
                <w:sz w:val="28"/>
                <w:szCs w:val="28"/>
              </w:rPr>
            </w:pPr>
            <w:r>
              <w:rPr>
                <w:rFonts w:cs="Times New Roman"/>
                <w:sz w:val="28"/>
                <w:szCs w:val="28"/>
              </w:rPr>
              <w:t>TỈNH UỶ ĐIỆN BIÊN</w:t>
            </w:r>
          </w:p>
          <w:p>
            <w:pPr>
              <w:pStyle w:val="Normal"/>
              <w:spacing w:lineRule="auto" w:line="240" w:before="0" w:after="0"/>
              <w:jc w:val="center"/>
              <w:rPr>
                <w:rFonts w:cs="Times New Roman"/>
                <w:b/>
                <w:sz w:val="28"/>
                <w:szCs w:val="28"/>
                <w:lang w:val="vi-VN"/>
              </w:rPr>
            </w:pPr>
            <w:r>
              <w:rPr>
                <w:rFonts w:cs="Times New Roman"/>
                <w:b/>
                <w:sz w:val="28"/>
                <w:szCs w:val="28"/>
              </w:rPr>
              <w:t>BAN TUYÊN GIÁO</w:t>
            </w:r>
            <w:r>
              <w:rPr>
                <w:rFonts w:cs="Times New Roman"/>
                <w:b/>
                <w:sz w:val="28"/>
                <w:szCs w:val="28"/>
                <w:lang w:val="vi-VN"/>
              </w:rPr>
              <w:t xml:space="preserve"> VÀ DÂN VẬN</w:t>
            </w:r>
          </w:p>
          <w:p>
            <w:pPr>
              <w:pStyle w:val="Normal"/>
              <w:spacing w:lineRule="auto" w:line="240" w:before="0" w:after="0"/>
              <w:jc w:val="center"/>
              <w:rPr>
                <w:rFonts w:cs="Times New Roman"/>
                <w:b/>
                <w:sz w:val="28"/>
                <w:szCs w:val="28"/>
                <w:lang w:val="vi-VN"/>
              </w:rPr>
            </w:pPr>
            <w:r>
              <w:rPr>
                <w:rFonts w:cs="Times New Roman"/>
                <w:b/>
                <w:sz w:val="28"/>
                <w:szCs w:val="28"/>
                <w:lang w:val="vi-VN"/>
              </w:rPr>
              <w:t>*</w:t>
            </w:r>
          </w:p>
          <w:p>
            <w:pPr>
              <w:pStyle w:val="Normal"/>
              <w:spacing w:lineRule="auto" w:line="240" w:before="0" w:after="0"/>
              <w:jc w:val="center"/>
              <w:rPr>
                <w:rFonts w:cs="Times New Roman"/>
                <w:sz w:val="28"/>
                <w:szCs w:val="28"/>
              </w:rPr>
            </w:pPr>
            <w:r>
              <w:rPr>
                <w:rFonts w:cs="Times New Roman"/>
                <w:sz w:val="28"/>
                <w:szCs w:val="28"/>
                <w:lang w:val="vi-VN"/>
              </w:rPr>
              <w:t xml:space="preserve">Số        </w:t>
            </w:r>
            <w:r>
              <w:rPr>
                <w:rFonts w:cs="Times New Roman"/>
                <w:sz w:val="28"/>
                <w:szCs w:val="28"/>
              </w:rPr>
              <w:t>-</w:t>
            </w:r>
            <w:r>
              <w:rPr>
                <w:rFonts w:cs="Times New Roman"/>
                <w:sz w:val="28"/>
                <w:szCs w:val="28"/>
                <w:lang w:val="vi-VN"/>
              </w:rPr>
              <w:t>HD/BTGDVT</w:t>
            </w:r>
            <w:r>
              <w:rPr>
                <w:rFonts w:cs="Times New Roman"/>
                <w:sz w:val="28"/>
                <w:szCs w:val="28"/>
              </w:rPr>
              <w:t>U</w:t>
            </w:r>
          </w:p>
          <w:p>
            <w:pPr>
              <w:pStyle w:val="Normal"/>
              <w:spacing w:lineRule="auto" w:line="240" w:before="0" w:after="0"/>
              <w:jc w:val="center"/>
              <w:rPr>
                <w:rFonts w:cs="Times New Roman"/>
                <w:i/>
                <w:sz w:val="24"/>
                <w:szCs w:val="24"/>
                <w:lang w:val="vi-VN"/>
              </w:rPr>
            </w:pPr>
            <w:r>
              <w:rPr>
                <w:rFonts w:cs="Times New Roman"/>
                <w:i/>
                <w:sz w:val="24"/>
                <w:szCs w:val="24"/>
                <w:lang w:val="vi-VN"/>
              </w:rPr>
            </w:r>
          </w:p>
        </w:tc>
        <w:tc>
          <w:tcPr>
            <w:tcW w:w="4360" w:type="dxa"/>
            <w:tcBorders/>
          </w:tcPr>
          <w:p>
            <w:pPr>
              <w:pStyle w:val="Normal"/>
              <w:spacing w:lineRule="auto" w:line="240" w:before="0" w:after="0"/>
              <w:jc w:val="center"/>
              <w:rPr>
                <w:rFonts w:cs="Times New Roman"/>
                <w:b/>
                <w:sz w:val="30"/>
                <w:szCs w:val="30"/>
                <w:lang w:val="vi-VN"/>
              </w:rPr>
            </w:pPr>
            <w:r>
              <mc:AlternateContent>
                <mc:Choice Requires="wps">
                  <w:drawing>
                    <wp:anchor behindDoc="0" distT="5080" distB="5080" distL="5080" distR="5080" simplePos="0" locked="0" layoutInCell="1" allowOverlap="1" relativeHeight="2" wp14:anchorId="78F12002">
                      <wp:simplePos x="0" y="0"/>
                      <wp:positionH relativeFrom="column">
                        <wp:posOffset>58420</wp:posOffset>
                      </wp:positionH>
                      <wp:positionV relativeFrom="paragraph">
                        <wp:posOffset>198120</wp:posOffset>
                      </wp:positionV>
                      <wp:extent cx="2552700" cy="9525"/>
                      <wp:effectExtent l="5080" t="5080" r="5080" b="5080"/>
                      <wp:wrapNone/>
                      <wp:docPr id="1" name="Straight Connector 1"/>
                      <a:graphic xmlns:a="http://schemas.openxmlformats.org/drawingml/2006/main">
                        <a:graphicData uri="http://schemas.microsoft.com/office/word/2010/wordprocessingShape">
                          <wps:wsp>
                            <wps:cNvSpPr/>
                            <wps:spPr>
                              <a:xfrm flipV="1">
                                <a:off x="0" y="0"/>
                                <a:ext cx="2552760" cy="9360"/>
                              </a:xfrm>
                              <a:prstGeom prst="line">
                                <a:avLst/>
                              </a:prstGeom>
                              <a:ln w="9525">
                                <a:solidFill>
                                  <a:srgbClr val="000000"/>
                                </a:solidFill>
                                <a:round/>
                              </a:ln>
                            </wps:spPr>
                            <wps:style>
                              <a:lnRef idx="0"/>
                              <a:fillRef idx="0"/>
                              <a:effectRef idx="0"/>
                              <a:fontRef idx="minor"/>
                            </wps:style>
                            <wps:bodyPr/>
                          </wps:wsp>
                        </a:graphicData>
                      </a:graphic>
                    </wp:anchor>
                  </w:drawing>
                </mc:Choice>
                <mc:Fallback>
                  <w:pict>
                    <v:line id="shape_0" from="4.6pt,15.6pt" to="205.55pt,16.3pt" stroked="t" o:allowincell="t" style="position:absolute;flip:y" wp14:anchorId="78F12002">
                      <v:stroke color="black" weight="9360" joinstyle="round" endcap="flat"/>
                      <v:fill o:detectmouseclick="t" on="false"/>
                      <w10:wrap type="none"/>
                    </v:line>
                  </w:pict>
                </mc:Fallback>
              </mc:AlternateContent>
            </w:r>
            <w:r>
              <w:rPr>
                <w:rFonts w:cs="Times New Roman"/>
                <w:b/>
                <w:sz w:val="30"/>
                <w:szCs w:val="30"/>
                <w:lang w:val="vi-VN"/>
              </w:rPr>
              <w:t>ĐẢNG CỘNG SẢN VIỆT NAM</w:t>
            </w:r>
          </w:p>
          <w:p>
            <w:pPr>
              <w:pStyle w:val="Normal"/>
              <w:spacing w:lineRule="auto" w:line="240" w:before="0" w:after="0"/>
              <w:jc w:val="center"/>
              <w:rPr>
                <w:rFonts w:cs="Times New Roman"/>
                <w:sz w:val="28"/>
                <w:szCs w:val="28"/>
                <w:lang w:val="vi-VN"/>
              </w:rPr>
            </w:pPr>
            <w:r>
              <w:rPr>
                <w:rFonts w:cs="Times New Roman"/>
                <w:sz w:val="28"/>
                <w:szCs w:val="28"/>
                <w:lang w:val="vi-VN"/>
              </w:rPr>
            </w:r>
            <w:bookmarkStart w:id="0" w:name="_GoBack"/>
            <w:bookmarkStart w:id="1" w:name="_GoBack"/>
            <w:bookmarkEnd w:id="1"/>
          </w:p>
          <w:p>
            <w:pPr>
              <w:pStyle w:val="Normal"/>
              <w:spacing w:lineRule="auto" w:line="240" w:before="0" w:after="0"/>
              <w:jc w:val="center"/>
              <w:rPr>
                <w:rFonts w:cs="Times New Roman"/>
                <w:i/>
                <w:sz w:val="28"/>
                <w:szCs w:val="28"/>
                <w:lang w:val="vi-VN"/>
              </w:rPr>
            </w:pPr>
            <w:r>
              <w:rPr>
                <w:rFonts w:cs="Times New Roman"/>
                <w:i/>
                <w:sz w:val="28"/>
                <w:szCs w:val="28"/>
              </w:rPr>
              <w:t>Điện Biên</w:t>
            </w:r>
            <w:r>
              <w:rPr>
                <w:rFonts w:cs="Times New Roman"/>
                <w:i/>
                <w:sz w:val="28"/>
                <w:szCs w:val="28"/>
                <w:lang w:val="vi-VN"/>
              </w:rPr>
              <w:t xml:space="preserve">, ngày     tháng </w:t>
            </w:r>
            <w:r>
              <w:rPr>
                <w:rFonts w:cs="Times New Roman"/>
                <w:i/>
                <w:sz w:val="28"/>
                <w:szCs w:val="28"/>
              </w:rPr>
              <w:t xml:space="preserve"> </w:t>
            </w:r>
            <w:r>
              <w:rPr>
                <w:rFonts w:cs="Times New Roman"/>
                <w:i/>
                <w:sz w:val="28"/>
                <w:szCs w:val="28"/>
                <w:lang w:val="vi-VN"/>
              </w:rPr>
              <w:t xml:space="preserve"> năm 2026</w:t>
            </w:r>
          </w:p>
          <w:p>
            <w:pPr>
              <w:pStyle w:val="Normal"/>
              <w:spacing w:lineRule="auto" w:line="240" w:before="0" w:after="0"/>
              <w:jc w:val="center"/>
              <w:rPr>
                <w:rFonts w:cs="Times New Roman"/>
                <w:b/>
                <w:sz w:val="32"/>
                <w:szCs w:val="32"/>
                <w:lang w:val="vi-VN"/>
              </w:rPr>
            </w:pPr>
            <w:r>
              <w:rPr>
                <w:rFonts w:cs="Times New Roman"/>
                <w:b/>
                <w:sz w:val="32"/>
                <w:szCs w:val="32"/>
                <w:lang w:val="vi-VN"/>
              </w:rPr>
            </w:r>
          </w:p>
          <w:p>
            <w:pPr>
              <w:pStyle w:val="Normal"/>
              <w:spacing w:lineRule="auto" w:line="240" w:before="0" w:after="0"/>
              <w:jc w:val="both"/>
              <w:rPr>
                <w:rFonts w:cs="Times New Roman"/>
                <w:i/>
                <w:sz w:val="28"/>
                <w:szCs w:val="28"/>
                <w:lang w:val="vi-VN"/>
              </w:rPr>
            </w:pPr>
            <w:r>
              <w:rPr>
                <w:rFonts w:cs="Times New Roman"/>
                <w:i/>
                <w:sz w:val="28"/>
                <w:szCs w:val="28"/>
                <w:lang w:val="vi-VN"/>
              </w:rPr>
            </w:r>
          </w:p>
        </w:tc>
      </w:tr>
    </w:tbl>
    <w:p>
      <w:pPr>
        <w:pStyle w:val="Normal"/>
        <w:spacing w:before="240" w:after="0"/>
        <w:jc w:val="center"/>
        <w:rPr>
          <w:rFonts w:cs="Times New Roman"/>
          <w:sz w:val="28"/>
          <w:szCs w:val="28"/>
          <w:lang w:val="vi-VN"/>
        </w:rPr>
      </w:pPr>
      <w:r>
        <w:rPr>
          <w:rFonts w:cs="Times New Roman"/>
          <w:b/>
          <w:sz w:val="28"/>
          <w:szCs w:val="28"/>
          <w:lang w:val="vi-VN"/>
        </w:rPr>
        <w:t>HƯỚNG DẪN</w:t>
      </w:r>
    </w:p>
    <w:p>
      <w:pPr>
        <w:pStyle w:val="Normal"/>
        <w:spacing w:before="0" w:after="0"/>
        <w:jc w:val="center"/>
        <w:rPr>
          <w:rFonts w:cs="Times New Roman"/>
          <w:b/>
          <w:sz w:val="28"/>
          <w:szCs w:val="28"/>
          <w:lang w:val="vi-VN"/>
        </w:rPr>
      </w:pPr>
      <w:r>
        <w:rPr>
          <w:rFonts w:cs="Times New Roman"/>
          <w:b/>
          <w:sz w:val="28"/>
          <w:szCs w:val="28"/>
        </w:rPr>
        <w:t>t</w:t>
      </w:r>
      <w:r>
        <w:rPr>
          <w:rFonts w:cs="Times New Roman"/>
          <w:b/>
          <w:sz w:val="28"/>
          <w:szCs w:val="28"/>
          <w:lang w:val="vi-VN"/>
        </w:rPr>
        <w:t xml:space="preserve">uyên truyền kỷ niệm </w:t>
      </w:r>
      <w:r>
        <w:rPr>
          <w:rFonts w:cs="Times New Roman"/>
          <w:b/>
          <w:sz w:val="28"/>
          <w:szCs w:val="28"/>
        </w:rPr>
        <w:t>150</w:t>
      </w:r>
      <w:r>
        <w:rPr>
          <w:rFonts w:cs="Times New Roman"/>
          <w:b/>
          <w:sz w:val="28"/>
          <w:szCs w:val="28"/>
          <w:lang w:val="vi-VN"/>
        </w:rPr>
        <w:t xml:space="preserve"> năm Ngày sinh </w:t>
      </w:r>
      <w:r>
        <w:rPr>
          <w:rFonts w:cs="Times New Roman"/>
          <w:b/>
          <w:sz w:val="28"/>
          <w:szCs w:val="28"/>
        </w:rPr>
        <w:t>cụ Huỳnh Thúc Kháng</w:t>
      </w:r>
      <w:r>
        <w:rPr>
          <w:rFonts w:cs="Times New Roman"/>
          <w:b/>
          <w:sz w:val="28"/>
          <w:szCs w:val="28"/>
          <w:lang w:val="vi-VN"/>
        </w:rPr>
        <w:t xml:space="preserve"> </w:t>
      </w:r>
    </w:p>
    <w:p>
      <w:pPr>
        <w:pStyle w:val="Normal"/>
        <w:spacing w:before="0" w:after="0"/>
        <w:jc w:val="center"/>
        <w:rPr>
          <w:rFonts w:cs="Times New Roman"/>
          <w:b/>
          <w:sz w:val="28"/>
          <w:szCs w:val="28"/>
          <w:lang w:val="vi-VN"/>
        </w:rPr>
      </w:pPr>
      <w:r>
        <w:rPr>
          <w:rFonts w:cs="Times New Roman"/>
          <w:b/>
          <w:sz w:val="28"/>
          <w:szCs w:val="28"/>
          <w:lang w:val="vi-VN"/>
        </w:rPr>
        <w:t>(</w:t>
      </w:r>
      <w:r>
        <w:rPr>
          <w:rFonts w:cs="Times New Roman"/>
          <w:b/>
          <w:sz w:val="28"/>
          <w:szCs w:val="28"/>
        </w:rPr>
        <w:t>01/10/</w:t>
      </w:r>
      <w:r>
        <w:rPr>
          <w:rFonts w:cs="Times New Roman"/>
          <w:b/>
          <w:sz w:val="28"/>
          <w:szCs w:val="28"/>
          <w:lang w:val="vi-VN"/>
        </w:rPr>
        <w:t>1</w:t>
      </w:r>
      <w:r>
        <w:rPr>
          <w:rFonts w:cs="Times New Roman"/>
          <w:b/>
          <w:sz w:val="28"/>
          <w:szCs w:val="28"/>
        </w:rPr>
        <w:t>876</w:t>
      </w:r>
      <w:r>
        <w:rPr>
          <w:rFonts w:cs="Times New Roman"/>
          <w:b/>
          <w:sz w:val="28"/>
          <w:szCs w:val="28"/>
          <w:lang w:val="vi-VN"/>
        </w:rPr>
        <w:t xml:space="preserve"> – </w:t>
      </w:r>
      <w:r>
        <w:rPr>
          <w:rFonts w:cs="Times New Roman"/>
          <w:b/>
          <w:sz w:val="28"/>
          <w:szCs w:val="28"/>
        </w:rPr>
        <w:t>01/10/</w:t>
      </w:r>
      <w:r>
        <w:rPr>
          <w:rFonts w:cs="Times New Roman"/>
          <w:b/>
          <w:sz w:val="28"/>
          <w:szCs w:val="28"/>
          <w:lang w:val="vi-VN"/>
        </w:rPr>
        <w:t>2026)</w:t>
      </w:r>
    </w:p>
    <w:p>
      <w:pPr>
        <w:pStyle w:val="Normal"/>
        <w:spacing w:lineRule="auto" w:line="240" w:before="0" w:after="0"/>
        <w:jc w:val="center"/>
        <w:rPr>
          <w:rFonts w:cs="Times New Roman"/>
          <w:b/>
          <w:sz w:val="28"/>
          <w:szCs w:val="28"/>
          <w:lang w:val="vi-VN"/>
        </w:rPr>
      </w:pPr>
      <w:r>
        <w:rPr>
          <w:rFonts w:cs="Times New Roman"/>
          <w:b/>
          <w:sz w:val="28"/>
          <w:szCs w:val="28"/>
          <w:lang w:val="vi-VN"/>
        </w:rPr>
        <w:t>-----</w:t>
      </w:r>
    </w:p>
    <w:p>
      <w:pPr>
        <w:pStyle w:val="Normal"/>
        <w:tabs>
          <w:tab w:val="clear" w:pos="720"/>
          <w:tab w:val="left" w:pos="709" w:leader="none"/>
        </w:tabs>
        <w:spacing w:lineRule="exact" w:line="360" w:before="0" w:after="120"/>
        <w:ind w:firstLine="567"/>
        <w:jc w:val="both"/>
        <w:rPr>
          <w:spacing w:val="6"/>
          <w:sz w:val="28"/>
          <w:szCs w:val="28"/>
          <w:lang w:val="vi-VN"/>
        </w:rPr>
      </w:pPr>
      <w:r>
        <w:rPr>
          <w:rFonts w:cs="Times New Roman"/>
          <w:sz w:val="28"/>
          <w:szCs w:val="28"/>
          <w:lang w:val="vi-VN"/>
        </w:rPr>
        <w:tab/>
      </w:r>
      <w:r>
        <w:rPr>
          <w:rFonts w:cs="Times New Roman"/>
          <w:spacing w:val="-4"/>
          <w:sz w:val="28"/>
          <w:szCs w:val="28"/>
        </w:rPr>
        <w:tab/>
        <w:t>Thực hiện Hướng dẫn số 06-HD/BTGTW ngày 08/9/2026 của</w:t>
      </w:r>
      <w:r>
        <w:rPr>
          <w:rFonts w:cs="Times New Roman"/>
          <w:spacing w:val="6"/>
          <w:sz w:val="28"/>
          <w:szCs w:val="28"/>
          <w:lang w:val="vi-VN"/>
        </w:rPr>
        <w:t xml:space="preserve"> Ban Tuyên giáo Trung ương </w:t>
      </w:r>
      <w:r>
        <w:rPr>
          <w:rFonts w:cs="Times New Roman"/>
          <w:spacing w:val="6"/>
          <w:sz w:val="28"/>
          <w:szCs w:val="28"/>
        </w:rPr>
        <w:t xml:space="preserve">về </w:t>
      </w:r>
      <w:r>
        <w:rPr>
          <w:rFonts w:cs="Times New Roman"/>
          <w:spacing w:val="6"/>
          <w:sz w:val="28"/>
          <w:szCs w:val="28"/>
          <w:lang w:val="vi-VN"/>
        </w:rPr>
        <w:t xml:space="preserve">hướng dẫn tuyên truyền kỷ niệm </w:t>
      </w:r>
      <w:r>
        <w:rPr>
          <w:rFonts w:cs="Times New Roman"/>
          <w:spacing w:val="6"/>
          <w:sz w:val="28"/>
          <w:szCs w:val="28"/>
        </w:rPr>
        <w:t>150</w:t>
      </w:r>
      <w:r>
        <w:rPr>
          <w:rFonts w:cs="Times New Roman"/>
          <w:spacing w:val="6"/>
          <w:sz w:val="28"/>
          <w:szCs w:val="28"/>
          <w:lang w:val="vi-VN"/>
        </w:rPr>
        <w:t xml:space="preserve"> năm Ngày sinh </w:t>
      </w:r>
      <w:r>
        <w:rPr>
          <w:rFonts w:cs="Times New Roman"/>
          <w:spacing w:val="6"/>
          <w:sz w:val="28"/>
          <w:szCs w:val="28"/>
        </w:rPr>
        <w:t>cụ Huỳnh Thúc Kháng (01/10/1876-01/10/2026); Ban Tuyên giáo và Dân vận Tỉnh uỷ ban hành hướng dẫn tuyên truyền</w:t>
      </w:r>
      <w:r>
        <w:rPr>
          <w:rFonts w:cs="Times New Roman"/>
          <w:spacing w:val="6"/>
          <w:sz w:val="28"/>
          <w:szCs w:val="28"/>
          <w:lang w:val="vi-VN"/>
        </w:rPr>
        <w:t xml:space="preserve"> như sau:</w:t>
      </w:r>
    </w:p>
    <w:p>
      <w:pPr>
        <w:pStyle w:val="Normal"/>
        <w:tabs>
          <w:tab w:val="clear" w:pos="720"/>
          <w:tab w:val="left" w:pos="709" w:leader="none"/>
        </w:tabs>
        <w:spacing w:lineRule="exact" w:line="360" w:before="0" w:after="120"/>
        <w:ind w:firstLine="567"/>
        <w:jc w:val="both"/>
        <w:rPr>
          <w:rFonts w:cs="Times New Roman"/>
          <w:sz w:val="28"/>
          <w:szCs w:val="28"/>
          <w:lang w:val="vi-VN"/>
        </w:rPr>
      </w:pPr>
      <w:r>
        <w:rPr>
          <w:rFonts w:cs="Times New Roman"/>
          <w:sz w:val="28"/>
          <w:szCs w:val="28"/>
          <w:lang w:val="vi-VN"/>
        </w:rPr>
        <w:t>I</w:t>
      </w:r>
      <w:r>
        <w:rPr>
          <w:rFonts w:cs="Times New Roman"/>
          <w:sz w:val="28"/>
          <w:szCs w:val="28"/>
        </w:rPr>
        <w:t>-</w:t>
      </w:r>
      <w:r>
        <w:rPr>
          <w:rFonts w:cs="Times New Roman"/>
          <w:sz w:val="28"/>
          <w:szCs w:val="28"/>
          <w:lang w:val="vi-VN"/>
        </w:rPr>
        <w:t xml:space="preserve"> MỤC ĐÍCH, YÊU CẦU</w:t>
      </w:r>
    </w:p>
    <w:p>
      <w:pPr>
        <w:pStyle w:val="Normal"/>
        <w:tabs>
          <w:tab w:val="clear" w:pos="720"/>
          <w:tab w:val="left" w:pos="709" w:leader="none"/>
        </w:tabs>
        <w:spacing w:lineRule="exact" w:line="360" w:before="0" w:after="120"/>
        <w:ind w:firstLine="567"/>
        <w:jc w:val="both"/>
        <w:rPr>
          <w:rFonts w:cs="Times New Roman"/>
          <w:b/>
          <w:sz w:val="28"/>
          <w:szCs w:val="28"/>
        </w:rPr>
      </w:pPr>
      <w:r>
        <w:rPr>
          <w:rFonts w:cs="Times New Roman"/>
          <w:b/>
          <w:sz w:val="28"/>
          <w:szCs w:val="28"/>
        </w:rPr>
        <w:t>1. Mục đích</w:t>
      </w:r>
    </w:p>
    <w:p>
      <w:pPr>
        <w:pStyle w:val="Normal"/>
        <w:tabs>
          <w:tab w:val="clear" w:pos="720"/>
          <w:tab w:val="left" w:pos="709" w:leader="none"/>
        </w:tabs>
        <w:spacing w:lineRule="exact" w:line="360" w:before="0" w:after="120"/>
        <w:ind w:firstLine="567"/>
        <w:jc w:val="both"/>
        <w:rPr>
          <w:rFonts w:cs="Times New Roman"/>
          <w:sz w:val="28"/>
          <w:szCs w:val="28"/>
          <w:lang w:val="vi-VN"/>
        </w:rPr>
      </w:pPr>
      <w:r>
        <w:rPr>
          <w:rFonts w:cs="Times New Roman"/>
          <w:sz w:val="28"/>
          <w:szCs w:val="28"/>
          <w:lang w:val="vi-VN"/>
        </w:rPr>
        <w:t>Tôn vinh và tri ân nh</w:t>
      </w:r>
      <w:r>
        <w:rPr>
          <w:rFonts w:cs="Times New Roman"/>
          <w:sz w:val="28"/>
          <w:szCs w:val="28"/>
        </w:rPr>
        <w:t>ữ</w:t>
      </w:r>
      <w:r>
        <w:rPr>
          <w:rFonts w:cs="Times New Roman"/>
          <w:sz w:val="28"/>
          <w:szCs w:val="28"/>
          <w:lang w:val="vi-VN"/>
        </w:rPr>
        <w:t>ng công lao, cống hiến to lớn của cụ Huỳnh Thúc Kháng đối với sự nghiệp đấu tranh vì độc lập, tự do của dân tộc, vì quyền dân sinh, dân chủ và hạnh phúc của Nhân dân; khẳng định vai trò lãnh đạo sáng suốt của Đảng Cộng sản Việt Nam và Chủ tịch Hồ Chí Minh, củng cố và bồi đắp niềm tin của Nhân dân vào sự lãnh đạo của Đảng, Nhà nước và sự nghiệp xây dựng, bảo vệ T</w:t>
      </w:r>
      <w:r>
        <w:rPr>
          <w:rFonts w:cs="Times New Roman"/>
          <w:sz w:val="28"/>
          <w:szCs w:val="28"/>
        </w:rPr>
        <w:t>ổ</w:t>
      </w:r>
      <w:r>
        <w:rPr>
          <w:rFonts w:cs="Times New Roman"/>
          <w:sz w:val="28"/>
          <w:szCs w:val="28"/>
          <w:lang w:val="vi-VN"/>
        </w:rPr>
        <w:t xml:space="preserve"> qu</w:t>
      </w:r>
      <w:r>
        <w:rPr>
          <w:rFonts w:cs="Times New Roman"/>
          <w:sz w:val="28"/>
          <w:szCs w:val="28"/>
        </w:rPr>
        <w:t>ố</w:t>
      </w:r>
      <w:r>
        <w:rPr>
          <w:rFonts w:cs="Times New Roman"/>
          <w:sz w:val="28"/>
          <w:szCs w:val="28"/>
          <w:lang w:val="vi-VN"/>
        </w:rPr>
        <w:t>c.</w:t>
      </w:r>
    </w:p>
    <w:p>
      <w:pPr>
        <w:pStyle w:val="Normal"/>
        <w:tabs>
          <w:tab w:val="clear" w:pos="720"/>
          <w:tab w:val="left" w:pos="709" w:leader="none"/>
        </w:tabs>
        <w:spacing w:lineRule="exact" w:line="360" w:before="0" w:after="120"/>
        <w:ind w:firstLine="567"/>
        <w:jc w:val="both"/>
        <w:rPr>
          <w:rFonts w:cs="Times New Roman"/>
          <w:sz w:val="28"/>
          <w:szCs w:val="28"/>
          <w:lang w:val="vi-VN"/>
        </w:rPr>
      </w:pPr>
      <w:r>
        <w:rPr>
          <w:rFonts w:cs="Times New Roman"/>
          <w:sz w:val="28"/>
          <w:szCs w:val="28"/>
          <w:lang w:val="vi-VN"/>
        </w:rPr>
        <w:t>Thông qua các hoạt động tuyên truyền kỷ niệm, giáo dục truyền thống yêu nước, ý chí kiên cường, bất khuất, tinh thần tự lực, tự cường và trách nhiệm đối với đất nước; khích lệ, c</w:t>
      </w:r>
      <w:r>
        <w:rPr>
          <w:rFonts w:cs="Times New Roman"/>
          <w:sz w:val="28"/>
          <w:szCs w:val="28"/>
        </w:rPr>
        <w:t>ổ</w:t>
      </w:r>
      <w:r>
        <w:rPr>
          <w:rFonts w:cs="Times New Roman"/>
          <w:sz w:val="28"/>
          <w:szCs w:val="28"/>
          <w:lang w:val="vi-VN"/>
        </w:rPr>
        <w:t xml:space="preserve"> vũ cán bộ, đảng viên và các tầng l</w:t>
      </w:r>
      <w:r>
        <w:rPr>
          <w:rFonts w:cs="Times New Roman"/>
          <w:sz w:val="28"/>
          <w:szCs w:val="28"/>
        </w:rPr>
        <w:t>ớ</w:t>
      </w:r>
      <w:r>
        <w:rPr>
          <w:rFonts w:cs="Times New Roman"/>
          <w:sz w:val="28"/>
          <w:szCs w:val="28"/>
          <w:lang w:val="vi-VN"/>
        </w:rPr>
        <w:t>p Nhân dân, nhất là thế hệ trẻ, noi gương cụ Huỳnh Thúc Kháng và các th</w:t>
      </w:r>
      <w:r>
        <w:rPr>
          <w:rFonts w:cs="Times New Roman"/>
          <w:sz w:val="28"/>
          <w:szCs w:val="28"/>
        </w:rPr>
        <w:t>ế</w:t>
      </w:r>
      <w:r>
        <w:rPr>
          <w:rFonts w:cs="Times New Roman"/>
          <w:sz w:val="28"/>
          <w:szCs w:val="28"/>
          <w:lang w:val="vi-VN"/>
        </w:rPr>
        <w:t xml:space="preserve"> hệ tiền nhân, tích cực học tập, lao động, công tác, gi</w:t>
      </w:r>
      <w:r>
        <w:rPr>
          <w:rFonts w:cs="Times New Roman"/>
          <w:sz w:val="28"/>
          <w:szCs w:val="28"/>
        </w:rPr>
        <w:t>ữ</w:t>
      </w:r>
      <w:r>
        <w:rPr>
          <w:rFonts w:cs="Times New Roman"/>
          <w:sz w:val="28"/>
          <w:szCs w:val="28"/>
          <w:lang w:val="vi-VN"/>
        </w:rPr>
        <w:t xml:space="preserve"> gìn phẩm chất đạo đức, phát huy tinh thần trách nhiệm, đoàn kết, vượt qua khó khăn, thách thức, góp ph</w:t>
      </w:r>
      <w:r>
        <w:rPr>
          <w:rFonts w:cs="Times New Roman"/>
          <w:sz w:val="28"/>
          <w:szCs w:val="28"/>
        </w:rPr>
        <w:t>ầ</w:t>
      </w:r>
      <w:r>
        <w:rPr>
          <w:rFonts w:cs="Times New Roman"/>
          <w:sz w:val="28"/>
          <w:szCs w:val="28"/>
          <w:lang w:val="vi-VN"/>
        </w:rPr>
        <w:t>n thực hiện th</w:t>
      </w:r>
      <w:r>
        <w:rPr>
          <w:rFonts w:cs="Times New Roman"/>
          <w:sz w:val="28"/>
          <w:szCs w:val="28"/>
        </w:rPr>
        <w:t>ắ</w:t>
      </w:r>
      <w:r>
        <w:rPr>
          <w:rFonts w:cs="Times New Roman"/>
          <w:sz w:val="28"/>
          <w:szCs w:val="28"/>
          <w:lang w:val="vi-VN"/>
        </w:rPr>
        <w:t>ng lợi các mục tiêu, nhiệm vụ phát triển đất nước trong kỷ nguyên mới.</w:t>
      </w:r>
    </w:p>
    <w:p>
      <w:pPr>
        <w:pStyle w:val="Normal"/>
        <w:tabs>
          <w:tab w:val="clear" w:pos="720"/>
          <w:tab w:val="left" w:pos="567" w:leader="none"/>
        </w:tabs>
        <w:spacing w:lineRule="exact" w:line="360" w:before="0" w:after="120"/>
        <w:ind w:firstLine="567"/>
        <w:jc w:val="both"/>
        <w:rPr>
          <w:rFonts w:cs="Times New Roman"/>
          <w:b/>
          <w:spacing w:val="4"/>
          <w:sz w:val="28"/>
          <w:szCs w:val="28"/>
        </w:rPr>
      </w:pPr>
      <w:r>
        <w:rPr>
          <w:rFonts w:cs="Times New Roman"/>
          <w:b/>
          <w:spacing w:val="4"/>
          <w:sz w:val="28"/>
          <w:szCs w:val="28"/>
        </w:rPr>
        <w:tab/>
        <w:t>2. Yêu cầu</w:t>
      </w:r>
    </w:p>
    <w:p>
      <w:pPr>
        <w:pStyle w:val="Normal"/>
        <w:widowControl w:val="false"/>
        <w:tabs>
          <w:tab w:val="clear" w:pos="720"/>
          <w:tab w:val="left" w:pos="567" w:leader="none"/>
        </w:tabs>
        <w:suppressAutoHyphens w:val="false"/>
        <w:spacing w:lineRule="exact" w:line="360" w:before="0" w:after="120"/>
        <w:ind w:firstLine="567"/>
        <w:jc w:val="both"/>
        <w:rPr>
          <w:rFonts w:cs="Times New Roman"/>
          <w:sz w:val="28"/>
          <w:szCs w:val="28"/>
          <w:lang w:val="vi-VN"/>
        </w:rPr>
        <w:sectPr>
          <w:type w:val="nextPage"/>
          <w:pgSz w:w="11906" w:h="16838"/>
          <w:pgMar w:left="1701" w:right="851" w:gutter="0" w:header="0" w:top="1134" w:footer="0" w:bottom="1134"/>
          <w:pgNumType w:start="1" w:fmt="decimal"/>
          <w:formProt w:val="false"/>
          <w:textDirection w:val="lrTb"/>
          <w:docGrid w:type="default" w:linePitch="360" w:charSpace="0"/>
        </w:sectPr>
      </w:pPr>
      <w:r>
        <w:rPr>
          <w:rFonts w:cs="Times New Roman"/>
          <w:sz w:val="28"/>
          <w:szCs w:val="28"/>
          <w:lang w:val="vi-VN"/>
        </w:rPr>
        <w:tab/>
        <w:t>Các hoạt động tuyên truyền kỷ niệm cần tổ chức với nội dung và hình thức phù h</w:t>
      </w:r>
      <w:r>
        <w:rPr>
          <w:rFonts w:cs="Times New Roman"/>
          <w:sz w:val="28"/>
          <w:szCs w:val="28"/>
        </w:rPr>
        <w:t>ợ</w:t>
      </w:r>
      <w:r>
        <w:rPr>
          <w:rFonts w:cs="Times New Roman"/>
          <w:sz w:val="28"/>
          <w:szCs w:val="28"/>
          <w:lang w:val="vi-VN"/>
        </w:rPr>
        <w:t>p, trang trọng, thiết thực, hiệu quả, có trọng tâm, trọng đi</w:t>
      </w:r>
      <w:r>
        <w:rPr>
          <w:rFonts w:cs="Times New Roman"/>
          <w:sz w:val="28"/>
          <w:szCs w:val="28"/>
        </w:rPr>
        <w:t>ể</w:t>
      </w:r>
      <w:r>
        <w:rPr>
          <w:rFonts w:cs="Times New Roman"/>
          <w:sz w:val="28"/>
          <w:szCs w:val="28"/>
          <w:lang w:val="vi-VN"/>
        </w:rPr>
        <w:t>m, đúng quy định; gắn tuyên truyền kỷ niệm 150 năm Ngày sinh cụ Huỳnh Thúc Kháng với tuyên truyền các ngày lễ lớn, sự kiện chính trị, lịch sử quan trọng của đất nước</w:t>
      </w:r>
      <w:r>
        <w:rPr>
          <w:rFonts w:cs="Times New Roman"/>
          <w:sz w:val="28"/>
          <w:szCs w:val="28"/>
        </w:rPr>
        <w:t>, của tỉnh</w:t>
      </w:r>
      <w:r>
        <w:rPr>
          <w:rFonts w:cs="Times New Roman"/>
          <w:sz w:val="28"/>
          <w:szCs w:val="28"/>
          <w:lang w:val="vi-VN"/>
        </w:rPr>
        <w:t>; tuyên truyền thúc đ</w:t>
      </w:r>
      <w:r>
        <w:rPr>
          <w:rFonts w:cs="Times New Roman"/>
          <w:sz w:val="28"/>
          <w:szCs w:val="28"/>
        </w:rPr>
        <w:t>ẩ</w:t>
      </w:r>
      <w:r>
        <w:rPr>
          <w:rFonts w:cs="Times New Roman"/>
          <w:sz w:val="28"/>
          <w:szCs w:val="28"/>
          <w:lang w:val="vi-VN"/>
        </w:rPr>
        <w:t>y thực hiện nhiệm vụ phát triển kinh tế - xã hội, xây dựng Đảng, xây dựng hệ thống chính trị, các phong trào thi đua yêu nước năm 2026.</w:t>
      </w:r>
    </w:p>
    <w:p>
      <w:pPr>
        <w:pStyle w:val="Normal"/>
        <w:tabs>
          <w:tab w:val="clear" w:pos="720"/>
          <w:tab w:val="left" w:pos="567" w:leader="none"/>
        </w:tabs>
        <w:spacing w:lineRule="exact" w:line="360" w:before="0" w:after="120"/>
        <w:ind w:firstLine="567"/>
        <w:jc w:val="both"/>
        <w:rPr>
          <w:rFonts w:cs="Times New Roman"/>
          <w:sz w:val="28"/>
          <w:szCs w:val="28"/>
          <w:lang w:val="vi-VN"/>
        </w:rPr>
      </w:pPr>
      <w:r>
        <w:rPr>
          <w:rFonts w:cs="Times New Roman"/>
          <w:sz w:val="28"/>
          <w:szCs w:val="28"/>
          <w:lang w:val="vi-VN"/>
        </w:rPr>
        <w:tab/>
        <w:t>II</w:t>
      </w:r>
      <w:r>
        <w:rPr>
          <w:rFonts w:cs="Times New Roman"/>
          <w:sz w:val="28"/>
          <w:szCs w:val="28"/>
        </w:rPr>
        <w:t>-</w:t>
      </w:r>
      <w:r>
        <w:rPr>
          <w:rFonts w:cs="Times New Roman"/>
          <w:sz w:val="28"/>
          <w:szCs w:val="28"/>
          <w:lang w:val="vi-VN"/>
        </w:rPr>
        <w:t xml:space="preserve"> NỘI DUNG TUYÊN TRUYỀN</w:t>
      </w:r>
    </w:p>
    <w:p>
      <w:pPr>
        <w:pStyle w:val="Normal"/>
        <w:tabs>
          <w:tab w:val="clear" w:pos="720"/>
          <w:tab w:val="left" w:pos="567" w:leader="none"/>
        </w:tabs>
        <w:spacing w:lineRule="exact" w:line="360" w:before="0" w:after="120"/>
        <w:ind w:firstLine="567"/>
        <w:jc w:val="both"/>
        <w:rPr>
          <w:rFonts w:cs="Times New Roman"/>
          <w:sz w:val="28"/>
          <w:szCs w:val="28"/>
          <w:lang w:val="vi-VN"/>
        </w:rPr>
      </w:pPr>
      <w:r>
        <w:rPr>
          <w:rFonts w:cs="Times New Roman"/>
          <w:b/>
          <w:sz w:val="28"/>
          <w:szCs w:val="28"/>
          <w:lang w:val="vi-VN"/>
        </w:rPr>
        <w:tab/>
      </w:r>
      <w:r>
        <w:rPr>
          <w:rFonts w:cs="Times New Roman"/>
          <w:b/>
          <w:sz w:val="28"/>
          <w:szCs w:val="28"/>
        </w:rPr>
        <w:t>1.</w:t>
      </w:r>
      <w:r>
        <w:rPr>
          <w:rFonts w:cs="Times New Roman"/>
          <w:sz w:val="28"/>
          <w:szCs w:val="28"/>
        </w:rPr>
        <w:t xml:space="preserve"> </w:t>
      </w:r>
      <w:r>
        <w:rPr>
          <w:rFonts w:cs="Times New Roman"/>
          <w:sz w:val="28"/>
          <w:szCs w:val="28"/>
          <w:lang w:val="vi-VN"/>
        </w:rPr>
        <w:t>Thân thế, cuộc đời hoạt động và những công lao, cống hi</w:t>
      </w:r>
      <w:r>
        <w:rPr>
          <w:rFonts w:cs="Times New Roman"/>
          <w:sz w:val="28"/>
          <w:szCs w:val="28"/>
        </w:rPr>
        <w:t>ế</w:t>
      </w:r>
      <w:r>
        <w:rPr>
          <w:rFonts w:cs="Times New Roman"/>
          <w:sz w:val="28"/>
          <w:szCs w:val="28"/>
          <w:lang w:val="vi-VN"/>
        </w:rPr>
        <w:t>n to lớn của cụ Huỳnh Thúc Kháng đ</w:t>
      </w:r>
      <w:r>
        <w:rPr>
          <w:rFonts w:cs="Times New Roman"/>
          <w:sz w:val="28"/>
          <w:szCs w:val="28"/>
        </w:rPr>
        <w:t>ố</w:t>
      </w:r>
      <w:r>
        <w:rPr>
          <w:rFonts w:cs="Times New Roman"/>
          <w:sz w:val="28"/>
          <w:szCs w:val="28"/>
          <w:lang w:val="vi-VN"/>
        </w:rPr>
        <w:t>i với s</w:t>
      </w:r>
      <w:r>
        <w:rPr>
          <w:rFonts w:cs="Times New Roman"/>
          <w:sz w:val="28"/>
          <w:szCs w:val="28"/>
        </w:rPr>
        <w:t>ự</w:t>
      </w:r>
      <w:r>
        <w:rPr>
          <w:rFonts w:cs="Times New Roman"/>
          <w:sz w:val="28"/>
          <w:szCs w:val="28"/>
          <w:lang w:val="vi-VN"/>
        </w:rPr>
        <w:t xml:space="preserve"> nghiệp đấu tranh vì độc lập, t</w:t>
      </w:r>
      <w:r>
        <w:rPr>
          <w:rFonts w:cs="Times New Roman"/>
          <w:sz w:val="28"/>
          <w:szCs w:val="28"/>
        </w:rPr>
        <w:t>ự</w:t>
      </w:r>
      <w:r>
        <w:rPr>
          <w:rFonts w:cs="Times New Roman"/>
          <w:sz w:val="28"/>
          <w:szCs w:val="28"/>
          <w:lang w:val="vi-VN"/>
        </w:rPr>
        <w:t xml:space="preserve"> do của dân tộc; kh</w:t>
      </w:r>
      <w:r>
        <w:rPr>
          <w:rFonts w:cs="Times New Roman"/>
          <w:sz w:val="28"/>
          <w:szCs w:val="28"/>
        </w:rPr>
        <w:t>ẳ</w:t>
      </w:r>
      <w:r>
        <w:rPr>
          <w:rFonts w:cs="Times New Roman"/>
          <w:sz w:val="28"/>
          <w:szCs w:val="28"/>
          <w:lang w:val="vi-VN"/>
        </w:rPr>
        <w:t>ng định Cụ là chí sĩ yêu nước tiêu bi</w:t>
      </w:r>
      <w:r>
        <w:rPr>
          <w:rFonts w:cs="Times New Roman"/>
          <w:sz w:val="28"/>
          <w:szCs w:val="28"/>
        </w:rPr>
        <w:t>ể</w:t>
      </w:r>
      <w:r>
        <w:rPr>
          <w:rFonts w:cs="Times New Roman"/>
          <w:sz w:val="28"/>
          <w:szCs w:val="28"/>
          <w:lang w:val="vi-VN"/>
        </w:rPr>
        <w:t>u, nhà đại trí thức, nhà hoạt động văn hóa, báo chí xuất sắc, người có uy tín lớn trong Nhân dân, người con ưu tú của quê hương Đà N</w:t>
      </w:r>
      <w:r>
        <w:rPr>
          <w:rFonts w:cs="Times New Roman"/>
          <w:sz w:val="28"/>
          <w:szCs w:val="28"/>
        </w:rPr>
        <w:t>ẵ</w:t>
      </w:r>
      <w:r>
        <w:rPr>
          <w:rFonts w:cs="Times New Roman"/>
          <w:sz w:val="28"/>
          <w:szCs w:val="28"/>
          <w:lang w:val="vi-VN"/>
        </w:rPr>
        <w:t>ng suốt đời nêu cao lòng yêu nước, thương dân, kiên trì đ</w:t>
      </w:r>
      <w:r>
        <w:rPr>
          <w:rFonts w:cs="Times New Roman"/>
          <w:sz w:val="28"/>
          <w:szCs w:val="28"/>
        </w:rPr>
        <w:t>ấ</w:t>
      </w:r>
      <w:r>
        <w:rPr>
          <w:rFonts w:cs="Times New Roman"/>
          <w:sz w:val="28"/>
          <w:szCs w:val="28"/>
          <w:lang w:val="vi-VN"/>
        </w:rPr>
        <w:t>u tranh vì dân quyền, dân sinh, vì độc lập, tự do và hạnh phúc của Nhân dân.</w:t>
      </w:r>
    </w:p>
    <w:p>
      <w:pPr>
        <w:pStyle w:val="Normal"/>
        <w:tabs>
          <w:tab w:val="clear" w:pos="720"/>
          <w:tab w:val="left" w:pos="567" w:leader="none"/>
        </w:tabs>
        <w:spacing w:lineRule="exact" w:line="360" w:before="0" w:after="120"/>
        <w:ind w:firstLine="567"/>
        <w:jc w:val="both"/>
        <w:rPr>
          <w:rFonts w:cs="Times New Roman"/>
          <w:spacing w:val="-2"/>
          <w:sz w:val="28"/>
          <w:szCs w:val="28"/>
          <w:lang w:val="vi-VN"/>
        </w:rPr>
      </w:pPr>
      <w:r>
        <w:rPr>
          <w:rFonts w:cs="Times New Roman"/>
          <w:b/>
          <w:spacing w:val="-2"/>
          <w:sz w:val="28"/>
          <w:szCs w:val="28"/>
          <w:lang w:val="vi-VN"/>
        </w:rPr>
        <w:tab/>
      </w:r>
      <w:r>
        <w:rPr>
          <w:rFonts w:cs="Times New Roman"/>
          <w:b/>
          <w:spacing w:val="-2"/>
          <w:sz w:val="28"/>
          <w:szCs w:val="28"/>
        </w:rPr>
        <w:t>2.</w:t>
      </w:r>
      <w:r>
        <w:rPr>
          <w:rFonts w:cs="Times New Roman"/>
          <w:spacing w:val="-2"/>
          <w:sz w:val="28"/>
          <w:szCs w:val="28"/>
        </w:rPr>
        <w:t xml:space="preserve"> </w:t>
      </w:r>
      <w:r>
        <w:rPr>
          <w:rFonts w:cs="Times New Roman"/>
          <w:spacing w:val="-2"/>
          <w:sz w:val="28"/>
          <w:szCs w:val="28"/>
          <w:lang w:val="vi-VN"/>
        </w:rPr>
        <w:t>Những đóng góp của cụ Huỳnh Thúc Kháng trong sự nghiệp cách mạng Việt Nam, nhất là sau Cách mạng Tháng Tám năm 1945; vai trò trong việc tham gia xây dựng, củng c</w:t>
      </w:r>
      <w:r>
        <w:rPr>
          <w:rFonts w:cs="Times New Roman"/>
          <w:spacing w:val="-2"/>
          <w:sz w:val="28"/>
          <w:szCs w:val="28"/>
        </w:rPr>
        <w:t>ố</w:t>
      </w:r>
      <w:r>
        <w:rPr>
          <w:rFonts w:cs="Times New Roman"/>
          <w:spacing w:val="-2"/>
          <w:sz w:val="28"/>
          <w:szCs w:val="28"/>
          <w:lang w:val="vi-VN"/>
        </w:rPr>
        <w:t xml:space="preserve"> chính quyền cách mạng, tập h</w:t>
      </w:r>
      <w:r>
        <w:rPr>
          <w:rFonts w:cs="Times New Roman"/>
          <w:spacing w:val="-2"/>
          <w:sz w:val="28"/>
          <w:szCs w:val="28"/>
        </w:rPr>
        <w:t>ợ</w:t>
      </w:r>
      <w:r>
        <w:rPr>
          <w:rFonts w:cs="Times New Roman"/>
          <w:spacing w:val="-2"/>
          <w:sz w:val="28"/>
          <w:szCs w:val="28"/>
          <w:lang w:val="vi-VN"/>
        </w:rPr>
        <w:t>p, đoàn kết các tầng l</w:t>
      </w:r>
      <w:r>
        <w:rPr>
          <w:rFonts w:cs="Times New Roman"/>
          <w:spacing w:val="-2"/>
          <w:sz w:val="28"/>
          <w:szCs w:val="28"/>
        </w:rPr>
        <w:t>ớ</w:t>
      </w:r>
      <w:r>
        <w:rPr>
          <w:rFonts w:cs="Times New Roman"/>
          <w:spacing w:val="-2"/>
          <w:sz w:val="28"/>
          <w:szCs w:val="28"/>
          <w:lang w:val="vi-VN"/>
        </w:rPr>
        <w:t>p nhân sĩ, trí thức và Nhân dân; mối quan hệ, sự trân trọng, tin cậy giữa cụ Huỳnh Thúc Kháng và Chủ tịch Hồ Chí Minh; những bài học, giá trị lịch sử và thực tiễn từ cuộc đời, sự nghiệp của Cụ đối với sự nghiệp xây dựng và bảo vệ Tổ quốc hiện nay.</w:t>
      </w:r>
    </w:p>
    <w:p>
      <w:pPr>
        <w:pStyle w:val="Normal"/>
        <w:tabs>
          <w:tab w:val="clear" w:pos="720"/>
          <w:tab w:val="left" w:pos="567" w:leader="none"/>
        </w:tabs>
        <w:spacing w:lineRule="exact" w:line="360" w:before="0" w:after="120"/>
        <w:ind w:firstLine="567"/>
        <w:jc w:val="both"/>
        <w:rPr>
          <w:rFonts w:cs="Times New Roman"/>
          <w:sz w:val="28"/>
          <w:szCs w:val="28"/>
          <w:lang w:val="vi-VN"/>
        </w:rPr>
      </w:pPr>
      <w:r>
        <w:rPr>
          <w:rFonts w:cs="Times New Roman"/>
          <w:b/>
          <w:sz w:val="28"/>
          <w:szCs w:val="28"/>
          <w:lang w:val="vi-VN"/>
        </w:rPr>
        <w:tab/>
      </w:r>
      <w:r>
        <w:rPr>
          <w:rFonts w:cs="Times New Roman"/>
          <w:b/>
          <w:sz w:val="28"/>
          <w:szCs w:val="28"/>
        </w:rPr>
        <w:t>3.</w:t>
      </w:r>
      <w:r>
        <w:rPr>
          <w:rFonts w:cs="Times New Roman"/>
          <w:sz w:val="28"/>
          <w:szCs w:val="28"/>
        </w:rPr>
        <w:t xml:space="preserve"> </w:t>
      </w:r>
      <w:r>
        <w:rPr>
          <w:rFonts w:cs="Times New Roman"/>
          <w:sz w:val="28"/>
          <w:szCs w:val="28"/>
          <w:lang w:val="vi-VN"/>
        </w:rPr>
        <w:t>Tấm gương đạo đức, khí tiết, nhân cách và phong cách của cụ Huỳnh Thúc Kháng, tiêu bi</w:t>
      </w:r>
      <w:r>
        <w:rPr>
          <w:rFonts w:cs="Times New Roman"/>
          <w:sz w:val="28"/>
          <w:szCs w:val="28"/>
        </w:rPr>
        <w:t>ể</w:t>
      </w:r>
      <w:r>
        <w:rPr>
          <w:rFonts w:cs="Times New Roman"/>
          <w:sz w:val="28"/>
          <w:szCs w:val="28"/>
          <w:lang w:val="vi-VN"/>
        </w:rPr>
        <w:t>u cho lòng yêu nước, tinh thần kiên trung, bất khuất, cương trực, thanh liêm, không màng danh lợi, hết lòng phụng sự Tổ quốc, phục vụ Nhân dân; những đóng góp của C</w:t>
      </w:r>
      <w:r>
        <w:rPr>
          <w:rFonts w:cs="Times New Roman"/>
          <w:sz w:val="28"/>
          <w:szCs w:val="28"/>
        </w:rPr>
        <w:t>ụ</w:t>
      </w:r>
      <w:r>
        <w:rPr>
          <w:rFonts w:cs="Times New Roman"/>
          <w:sz w:val="28"/>
          <w:szCs w:val="28"/>
          <w:lang w:val="vi-VN"/>
        </w:rPr>
        <w:t xml:space="preserve"> trong lĩnh vực chính trị, văn hóa, giáo dục, báo chí; việc học tập và noi theo tấm gương cụ Huỳnh Thúc Kháng trong công tác xây dựng Đảng, xây dựng hệ th</w:t>
      </w:r>
      <w:r>
        <w:rPr>
          <w:rFonts w:cs="Times New Roman"/>
          <w:sz w:val="28"/>
          <w:szCs w:val="28"/>
        </w:rPr>
        <w:t>ố</w:t>
      </w:r>
      <w:r>
        <w:rPr>
          <w:rFonts w:cs="Times New Roman"/>
          <w:sz w:val="28"/>
          <w:szCs w:val="28"/>
          <w:lang w:val="vi-VN"/>
        </w:rPr>
        <w:t>ng chính trị, xây dựng đội ngũ cán bộ và phát huy sức mạnh đại đoàn kết toàn dân tộc hiện nay.</w:t>
      </w:r>
    </w:p>
    <w:p>
      <w:pPr>
        <w:pStyle w:val="Normal"/>
        <w:tabs>
          <w:tab w:val="clear" w:pos="720"/>
          <w:tab w:val="left" w:pos="567" w:leader="none"/>
        </w:tabs>
        <w:spacing w:lineRule="exact" w:line="360" w:before="0" w:after="120"/>
        <w:ind w:firstLine="567"/>
        <w:jc w:val="both"/>
        <w:rPr>
          <w:rFonts w:cs="Times New Roman"/>
          <w:spacing w:val="-8"/>
          <w:sz w:val="28"/>
          <w:szCs w:val="28"/>
          <w:lang w:val="vi-VN"/>
        </w:rPr>
      </w:pPr>
      <w:r>
        <w:rPr>
          <w:rFonts w:cs="Times New Roman"/>
          <w:b/>
          <w:spacing w:val="-8"/>
          <w:sz w:val="28"/>
          <w:szCs w:val="28"/>
          <w:lang w:val="vi-VN"/>
        </w:rPr>
        <w:tab/>
      </w:r>
      <w:r>
        <w:rPr>
          <w:rFonts w:cs="Times New Roman"/>
          <w:b/>
          <w:spacing w:val="-8"/>
          <w:sz w:val="28"/>
          <w:szCs w:val="28"/>
        </w:rPr>
        <w:t>4.</w:t>
      </w:r>
      <w:r>
        <w:rPr>
          <w:rFonts w:cs="Times New Roman"/>
          <w:spacing w:val="-8"/>
          <w:sz w:val="28"/>
          <w:szCs w:val="28"/>
        </w:rPr>
        <w:t xml:space="preserve"> </w:t>
      </w:r>
      <w:r>
        <w:rPr>
          <w:rFonts w:cs="Times New Roman"/>
          <w:spacing w:val="-8"/>
          <w:sz w:val="28"/>
          <w:szCs w:val="28"/>
          <w:lang w:val="vi-VN"/>
        </w:rPr>
        <w:t xml:space="preserve">Đấu tranh, phản bác các thông tin, quan </w:t>
      </w:r>
      <w:r>
        <w:rPr>
          <w:rFonts w:cs="Times New Roman"/>
          <w:spacing w:val="-8"/>
          <w:sz w:val="28"/>
          <w:szCs w:val="28"/>
        </w:rPr>
        <w:t>điểm</w:t>
      </w:r>
      <w:r>
        <w:rPr>
          <w:rFonts w:cs="Times New Roman"/>
          <w:spacing w:val="-8"/>
          <w:sz w:val="28"/>
          <w:szCs w:val="28"/>
          <w:lang w:val="vi-VN"/>
        </w:rPr>
        <w:t xml:space="preserve"> sai trái, thù địch chống phá Đảng, Nhà nước, chế độ, xuyên tạc cuộc đời và những đóng góp c</w:t>
      </w:r>
      <w:r>
        <w:rPr>
          <w:rFonts w:cs="Times New Roman"/>
          <w:spacing w:val="-8"/>
          <w:sz w:val="28"/>
          <w:szCs w:val="28"/>
        </w:rPr>
        <w:t>ủa</w:t>
      </w:r>
      <w:r>
        <w:rPr>
          <w:rFonts w:cs="Times New Roman"/>
          <w:spacing w:val="-8"/>
          <w:sz w:val="28"/>
          <w:szCs w:val="28"/>
          <w:lang w:val="vi-VN"/>
        </w:rPr>
        <w:t xml:space="preserve"> cụ Huỳnh Thúc Kháng.</w:t>
      </w:r>
    </w:p>
    <w:p>
      <w:pPr>
        <w:pStyle w:val="Normal"/>
        <w:tabs>
          <w:tab w:val="clear" w:pos="720"/>
          <w:tab w:val="left" w:pos="567" w:leader="none"/>
        </w:tabs>
        <w:spacing w:lineRule="exact" w:line="360" w:before="0" w:after="120"/>
        <w:ind w:firstLine="567"/>
        <w:jc w:val="both"/>
        <w:rPr>
          <w:rFonts w:cs="Times New Roman"/>
          <w:sz w:val="28"/>
          <w:szCs w:val="28"/>
          <w:lang w:val="vi-VN"/>
        </w:rPr>
      </w:pPr>
      <w:r>
        <w:rPr>
          <w:rFonts w:cs="Times New Roman"/>
          <w:b/>
          <w:sz w:val="28"/>
          <w:szCs w:val="28"/>
          <w:lang w:val="vi-VN"/>
        </w:rPr>
        <w:tab/>
      </w:r>
      <w:r>
        <w:rPr>
          <w:rFonts w:cs="Times New Roman"/>
          <w:b/>
          <w:sz w:val="28"/>
          <w:szCs w:val="28"/>
        </w:rPr>
        <w:t>5.</w:t>
      </w:r>
      <w:r>
        <w:rPr>
          <w:rFonts w:cs="Times New Roman"/>
          <w:sz w:val="28"/>
          <w:szCs w:val="28"/>
        </w:rPr>
        <w:t xml:space="preserve"> </w:t>
      </w:r>
      <w:r>
        <w:rPr>
          <w:rFonts w:cs="Times New Roman"/>
          <w:sz w:val="28"/>
          <w:szCs w:val="28"/>
          <w:lang w:val="vi-VN"/>
        </w:rPr>
        <w:t>Các hoạt động tuyên truyền kỷ niệm 150 năm Ngày sinh cụ Huỳnh Thúc Kháng diễn ra tại các ban, bộ, ngành, địa phương trên cả nước; nhất là các hoạt động lớn, trọng tâm.</w:t>
      </w:r>
      <w:r>
        <w:rPr>
          <w:sz w:val="28"/>
          <w:szCs w:val="28"/>
        </w:rPr>
        <w:t xml:space="preserve"> Chú trọng tuyên truyền những hoạt động thiết thực, phù hợp với điều kiện thực tế của địa phương, đơn vị.</w:t>
      </w:r>
    </w:p>
    <w:p>
      <w:pPr>
        <w:pStyle w:val="Normal"/>
        <w:spacing w:lineRule="exact" w:line="360" w:before="0" w:after="120"/>
        <w:ind w:firstLine="567"/>
        <w:jc w:val="both"/>
        <w:rPr>
          <w:rFonts w:cs="Times New Roman"/>
          <w:sz w:val="28"/>
          <w:szCs w:val="28"/>
          <w:lang w:val="vi-VN"/>
        </w:rPr>
      </w:pPr>
      <w:r>
        <w:rPr>
          <w:rFonts w:cs="Times New Roman"/>
          <w:sz w:val="28"/>
          <w:szCs w:val="28"/>
          <w:lang w:val="vi-VN"/>
        </w:rPr>
        <w:t>III</w:t>
      </w:r>
      <w:r>
        <w:rPr>
          <w:rFonts w:cs="Times New Roman"/>
          <w:sz w:val="28"/>
          <w:szCs w:val="28"/>
        </w:rPr>
        <w:t xml:space="preserve">- </w:t>
      </w:r>
      <w:r>
        <w:rPr>
          <w:rFonts w:cs="Times New Roman"/>
          <w:sz w:val="28"/>
          <w:szCs w:val="28"/>
          <w:lang w:val="vi-VN"/>
        </w:rPr>
        <w:t>CÁC HOẠT ĐỘNG KỶ NIỆM</w:t>
      </w:r>
    </w:p>
    <w:p>
      <w:pPr>
        <w:pStyle w:val="Normal"/>
        <w:tabs>
          <w:tab w:val="clear" w:pos="720"/>
          <w:tab w:val="left" w:pos="567" w:leader="none"/>
        </w:tabs>
        <w:spacing w:lineRule="exact" w:line="360" w:before="0" w:after="120"/>
        <w:ind w:firstLine="567"/>
        <w:jc w:val="both"/>
        <w:rPr>
          <w:sz w:val="28"/>
          <w:szCs w:val="28"/>
        </w:rPr>
      </w:pPr>
      <w:r>
        <w:rPr>
          <w:sz w:val="28"/>
          <w:szCs w:val="28"/>
        </w:rPr>
        <w:t xml:space="preserve">Căn cứ điều kiện cụ thể, các địa phương, cơ quan, đơn vị lựa chọn tổ chức các hoạt động phù hợp, thiết thực, hiệu quả như: tọa đàm, hội thảo, triển lãm; tuyên truyền, giáo dục truyền thống lịch sử; các hoạt động văn hóa, văn nghệ, thể thao; cuộc thi, hoạt động tìm hiểu về cuộc đời, sự nghiệp cách mạng của </w:t>
      </w:r>
      <w:r>
        <w:rPr>
          <w:rFonts w:cs="Times New Roman"/>
          <w:sz w:val="28"/>
          <w:szCs w:val="28"/>
          <w:lang w:val="vi-VN"/>
        </w:rPr>
        <w:t>cụ Huỳnh Thúc Kháng</w:t>
      </w:r>
      <w:r>
        <w:rPr>
          <w:sz w:val="28"/>
          <w:szCs w:val="28"/>
        </w:rPr>
        <w:t>; các hoạt động thông tin, tuyên truyền trên báo chí, internet, mạng xã hội và hệ thống thông tin cơ sở</w:t>
      </w:r>
    </w:p>
    <w:p>
      <w:pPr>
        <w:pStyle w:val="Normal"/>
        <w:tabs>
          <w:tab w:val="clear" w:pos="720"/>
          <w:tab w:val="left" w:pos="567" w:leader="none"/>
        </w:tabs>
        <w:spacing w:lineRule="exact" w:line="360" w:before="0" w:after="120"/>
        <w:ind w:firstLine="567"/>
        <w:jc w:val="both"/>
        <w:rPr>
          <w:sz w:val="28"/>
          <w:szCs w:val="28"/>
        </w:rPr>
      </w:pPr>
      <w:r>
        <w:rPr>
          <w:sz w:val="28"/>
          <w:szCs w:val="28"/>
        </w:rPr>
        <w:tab/>
        <w:t>IV- TỔ CHỨC THỰC HIỆN</w:t>
      </w:r>
    </w:p>
    <w:p>
      <w:pPr>
        <w:pStyle w:val="Normal"/>
        <w:tabs>
          <w:tab w:val="clear" w:pos="720"/>
          <w:tab w:val="left" w:pos="567" w:leader="none"/>
        </w:tabs>
        <w:spacing w:lineRule="exact" w:line="360" w:before="0" w:after="120"/>
        <w:ind w:firstLine="567"/>
        <w:jc w:val="both"/>
        <w:rPr>
          <w:sz w:val="28"/>
          <w:szCs w:val="28"/>
        </w:rPr>
      </w:pPr>
      <w:r>
        <w:rPr>
          <w:b/>
          <w:bCs/>
          <w:sz w:val="28"/>
          <w:szCs w:val="28"/>
        </w:rPr>
        <w:t>1. Ban Tuyên giáo và Dân vận Tỉnh uỷ</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spacing w:lineRule="exact" w:line="360" w:before="0" w:after="120"/>
        <w:ind w:firstLine="567"/>
        <w:contextualSpacing/>
        <w:jc w:val="both"/>
        <w:rPr>
          <w:rFonts w:cs="Times New Roman"/>
          <w:sz w:val="28"/>
          <w:szCs w:val="28"/>
        </w:rPr>
      </w:pPr>
      <w:r>
        <w:rPr>
          <w:rFonts w:cs="Times New Roman"/>
          <w:sz w:val="28"/>
          <w:szCs w:val="28"/>
        </w:rPr>
        <w:t>Xây dựng và ban hành hướng dẫn, gửi kèm Đề cương tuyên truyền do Ban Tuyên giáo Trung ương biên soạn, phát hành; chỉ đạo, định hướng các cơ quan báo chí, cơ quan có ấn phẩm báo chí trong tỉnh và cơ quan báo chí Trung ương thường trú trên địa bàn tỉnh đẩy mạnh tuyên truyền về sự kiện.</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spacing w:lineRule="exact" w:line="360" w:before="0" w:after="120"/>
        <w:ind w:firstLine="567"/>
        <w:contextualSpacing/>
        <w:jc w:val="both"/>
        <w:rPr>
          <w:rFonts w:cs="Times New Roman"/>
          <w:sz w:val="28"/>
          <w:szCs w:val="28"/>
        </w:rPr>
      </w:pPr>
      <w:r>
        <w:rPr>
          <w:rFonts w:cs="Times New Roman"/>
          <w:sz w:val="28"/>
          <w:szCs w:val="28"/>
        </w:rPr>
        <w:t>Tổ chức tuyên truyền sự kiện trong cuốn Sinh hoạt chi bộ của Ban Tuyên giáo và Dân vận Tỉnh uỷ.</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spacing w:lineRule="exact" w:line="360" w:before="0" w:after="120"/>
        <w:ind w:firstLine="567"/>
        <w:contextualSpacing/>
        <w:jc w:val="both"/>
        <w:rPr>
          <w:rFonts w:cs="Times New Roman"/>
          <w:spacing w:val="-6"/>
          <w:sz w:val="28"/>
          <w:szCs w:val="28"/>
        </w:rPr>
      </w:pPr>
      <w:r>
        <w:rPr>
          <w:rFonts w:cs="Times New Roman"/>
          <w:spacing w:val="-6"/>
          <w:sz w:val="28"/>
          <w:szCs w:val="28"/>
        </w:rPr>
        <w:t>Nắm tình hình tư tưởng, dư luận xã hội, kịp thời tham mưu cấp ủy chỉ đạo, định hướng đối với những vấn đề phát sinh; chủ động đấu tranh, phản bác các thông tin sai trái, xuyên tạc về cuộc đời, sự nghiệp và những đóng góp của cụ Huỳnh Thúc Kháng.</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cs="Times New Roman"/>
          <w:b/>
          <w:spacing w:val="-4"/>
          <w:sz w:val="28"/>
          <w:szCs w:val="28"/>
        </w:rPr>
      </w:pPr>
      <w:r>
        <w:rPr>
          <w:rFonts w:cs="Times New Roman"/>
          <w:b/>
          <w:spacing w:val="-4"/>
          <w:sz w:val="28"/>
          <w:szCs w:val="28"/>
        </w:rPr>
        <w:t>2. Đề nghị các đảng uỷ xã, phường; đảng uỷ trực thuộc tỉnh</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cs="Times New Roman"/>
          <w:sz w:val="28"/>
          <w:szCs w:val="28"/>
        </w:rPr>
      </w:pPr>
      <w:r>
        <w:rPr>
          <w:rFonts w:cs="Times New Roman"/>
          <w:sz w:val="28"/>
          <w:szCs w:val="28"/>
          <w:lang w:val="vi-VN"/>
        </w:rPr>
        <w:t>Chỉ đạo tổ chức các hoạt động tuyên truyền kỷ niệm bằng hình thức phù hợp với điều kiện thực tế; chú trọng tuyên truyền trên hệ thống thông tin cơ sở, mạng xã hội, trang thông tin điện tử của địa phương, đơn vị; thông qua hội nghị, sinh hoạt thường kỳ của các tổ chức chính trị - xã hội</w:t>
      </w:r>
      <w:r>
        <w:rPr>
          <w:rFonts w:cs="Times New Roman"/>
          <w:sz w:val="28"/>
          <w:szCs w:val="28"/>
        </w:rPr>
        <w:t>.</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cs="Times New Roman"/>
          <w:b/>
          <w:bCs/>
          <w:sz w:val="28"/>
          <w:szCs w:val="28"/>
        </w:rPr>
      </w:pPr>
      <w:r>
        <w:rPr>
          <w:rFonts w:cs="Times New Roman"/>
          <w:b/>
          <w:bCs/>
          <w:sz w:val="28"/>
          <w:szCs w:val="28"/>
        </w:rPr>
        <w:t>3. Đề nghị Đảng uỷ Uỷ ban nhân dân tỉnh</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cs="Times New Roman"/>
          <w:sz w:val="28"/>
          <w:szCs w:val="28"/>
          <w:lang w:eastAsia="vi-VN"/>
        </w:rPr>
      </w:pPr>
      <w:r>
        <w:rPr>
          <w:rFonts w:cs="Times New Roman"/>
          <w:sz w:val="28"/>
          <w:szCs w:val="28"/>
          <w:lang w:val="vi-VN" w:eastAsia="vi-VN"/>
        </w:rPr>
        <w:t>Lãnh đạo Ủy ban nhân dân tỉnh chỉ đạo</w:t>
      </w:r>
      <w:r>
        <w:rPr>
          <w:rFonts w:cs="Times New Roman"/>
          <w:sz w:val="28"/>
          <w:szCs w:val="28"/>
          <w:lang w:eastAsia="vi-VN"/>
        </w:rPr>
        <w:t xml:space="preserve"> </w:t>
      </w:r>
      <w:r>
        <w:rPr>
          <w:rFonts w:cs="Times New Roman"/>
          <w:sz w:val="28"/>
          <w:szCs w:val="28"/>
          <w:lang w:val="vi-VN" w:eastAsia="vi-VN"/>
        </w:rPr>
        <w:t>Sở Văn hóa, Thể thao và Du lịch tổ chức các hoạt động tuyên truyền, cổ động trực quan, các hoạt động văn hóa, văn nghệ</w:t>
      </w:r>
      <w:r>
        <w:rPr>
          <w:rFonts w:cs="Times New Roman"/>
          <w:sz w:val="28"/>
          <w:szCs w:val="28"/>
          <w:lang w:eastAsia="vi-VN"/>
        </w:rPr>
        <w:t xml:space="preserve">... </w:t>
      </w:r>
      <w:r>
        <w:rPr>
          <w:rFonts w:cs="Times New Roman"/>
          <w:sz w:val="28"/>
          <w:szCs w:val="28"/>
          <w:lang w:val="vi-VN" w:eastAsia="vi-VN"/>
        </w:rPr>
        <w:t>phù hợp với tình hình thực tế</w:t>
      </w:r>
      <w:r>
        <w:rPr>
          <w:rFonts w:cs="Times New Roman"/>
          <w:sz w:val="28"/>
          <w:szCs w:val="28"/>
          <w:lang w:eastAsia="vi-VN"/>
        </w:rPr>
        <w:t>. Q</w:t>
      </w:r>
      <w:r>
        <w:rPr>
          <w:rFonts w:cs="Times New Roman"/>
          <w:sz w:val="28"/>
          <w:szCs w:val="28"/>
          <w:lang w:val="vi-VN" w:eastAsia="vi-VN"/>
        </w:rPr>
        <w:t xml:space="preserve">uản lý </w:t>
      </w:r>
      <w:r>
        <w:rPr>
          <w:rFonts w:cs="Times New Roman"/>
          <w:sz w:val="28"/>
          <w:szCs w:val="28"/>
          <w:lang w:eastAsia="vi-VN"/>
        </w:rPr>
        <w:t xml:space="preserve">chặt chẽ </w:t>
      </w:r>
      <w:r>
        <w:rPr>
          <w:rFonts w:cs="Times New Roman"/>
          <w:sz w:val="28"/>
          <w:szCs w:val="28"/>
          <w:lang w:val="vi-VN" w:eastAsia="vi-VN"/>
        </w:rPr>
        <w:t>các hoạt động thông tin, truyền thông</w:t>
      </w:r>
      <w:r>
        <w:rPr>
          <w:rFonts w:cs="Times New Roman"/>
          <w:sz w:val="28"/>
          <w:szCs w:val="28"/>
          <w:lang w:eastAsia="vi-VN"/>
        </w:rPr>
        <w:t>, nhất là việc đăng tải thông tin trên báo chí, internet, mạng xã hội, ấn phẩm tuyên truyền. Phối hợp xử lý nghiêm việc đưa thông tin sai trái, xuyên tạc, không đúng định hướng, chống phá Đảng, Nhà nước và Nhân dân ta, chia rẽ khối đại đoàn kết toàn dân tộc.</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cs="Times New Roman"/>
          <w:sz w:val="28"/>
          <w:szCs w:val="28"/>
          <w:lang w:eastAsia="vi-VN"/>
        </w:rPr>
      </w:pPr>
      <w:r>
        <w:rPr>
          <w:rFonts w:cs="Times New Roman"/>
          <w:b/>
          <w:bCs/>
          <w:iCs/>
          <w:spacing w:val="-4"/>
          <w:sz w:val="28"/>
          <w:szCs w:val="28"/>
          <w:lang w:val="vi-VN" w:eastAsia="vi-VN"/>
        </w:rPr>
        <w:t xml:space="preserve">4. Đề nghị Uỷ ban Mặt trận Tổ Quốc Việt Nam tỉnh và các tổ chức chính trị – xã hội tỉnh </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567" w:leader="none"/>
        </w:tabs>
        <w:spacing w:lineRule="exact" w:line="360" w:before="0" w:after="120"/>
        <w:ind w:firstLine="567"/>
        <w:contextualSpacing/>
        <w:jc w:val="both"/>
        <w:rPr>
          <w:rFonts w:cs="Times New Roman"/>
          <w:iCs/>
          <w:spacing w:val="-4"/>
          <w:sz w:val="28"/>
          <w:szCs w:val="28"/>
          <w:lang w:val="vi-VN" w:eastAsia="vi-VN"/>
        </w:rPr>
      </w:pPr>
      <w:r>
        <w:rPr>
          <w:rFonts w:cs="Times New Roman"/>
          <w:iCs/>
          <w:spacing w:val="-4"/>
          <w:sz w:val="28"/>
          <w:szCs w:val="28"/>
          <w:lang w:val="vi-VN" w:eastAsia="vi-VN"/>
        </w:rPr>
        <w:tab/>
        <w:t>Tăng cường tuyên truyền thông qua các hội nghị, sinh hoạt của Mặt trận Tổ quốc, các tổ chức chính trị - xã hội, các phong trào thi đua yêu nước; vận động đoàn viên, hội viên và Nhân dân tích cực hưởng ứng các hoạt động tuyên truyền, kỷ niệm 150 năm Ngày sinh cụ Huỳnh Thúc Kháng.</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567" w:leader="none"/>
        </w:tabs>
        <w:spacing w:lineRule="exact" w:line="360" w:before="0" w:after="120"/>
        <w:ind w:firstLine="567"/>
        <w:contextualSpacing/>
        <w:jc w:val="both"/>
        <w:rPr>
          <w:rFonts w:cs="Times New Roman"/>
          <w:iCs/>
          <w:spacing w:val="-4"/>
          <w:sz w:val="28"/>
          <w:szCs w:val="28"/>
          <w:lang w:val="vi-VN" w:eastAsia="vi-VN"/>
        </w:rPr>
      </w:pPr>
      <w:r>
        <w:rPr>
          <w:rFonts w:cs="Times New Roman"/>
          <w:iCs/>
          <w:spacing w:val="-4"/>
          <w:sz w:val="28"/>
          <w:szCs w:val="28"/>
          <w:lang w:eastAsia="vi-VN"/>
        </w:rPr>
        <w:t xml:space="preserve">Đề nghị </w:t>
      </w:r>
      <w:r>
        <w:rPr>
          <w:rFonts w:cs="Times New Roman"/>
          <w:iCs/>
          <w:spacing w:val="-4"/>
          <w:sz w:val="28"/>
          <w:szCs w:val="28"/>
          <w:lang w:val="vi-VN" w:eastAsia="vi-VN"/>
        </w:rPr>
        <w:t xml:space="preserve">Tỉnh đoàn Điện Biên hưởng ứng cuộc thi tìm hiểu </w:t>
      </w:r>
      <w:r>
        <w:rPr>
          <w:rFonts w:cs="Times New Roman"/>
          <w:iCs/>
          <w:spacing w:val="-4"/>
          <w:sz w:val="28"/>
          <w:szCs w:val="28"/>
          <w:lang w:eastAsia="vi-VN"/>
        </w:rPr>
        <w:t xml:space="preserve">vè cuộc đời và sự nghiệp cụ Huỳnh Thúc Kháng </w:t>
      </w:r>
      <w:r>
        <w:rPr>
          <w:rFonts w:cs="Times New Roman"/>
          <w:iCs/>
          <w:spacing w:val="-4"/>
          <w:sz w:val="28"/>
          <w:szCs w:val="28"/>
          <w:lang w:val="vi-VN" w:eastAsia="vi-VN"/>
        </w:rPr>
        <w:t xml:space="preserve">do Trung ương Đoàn </w:t>
      </w:r>
      <w:r>
        <w:rPr>
          <w:rFonts w:cs="Times New Roman"/>
          <w:iCs/>
          <w:spacing w:val="-4"/>
          <w:sz w:val="28"/>
          <w:szCs w:val="28"/>
          <w:lang w:eastAsia="vi-VN"/>
        </w:rPr>
        <w:t>Thanh niên Cộng sản Hồ Chí Minh tổ chức</w:t>
      </w:r>
      <w:r>
        <w:rPr>
          <w:rFonts w:cs="Times New Roman"/>
          <w:iCs/>
          <w:spacing w:val="-4"/>
          <w:sz w:val="28"/>
          <w:szCs w:val="28"/>
          <w:lang w:val="vi-VN" w:eastAsia="vi-VN"/>
        </w:rPr>
        <w:t>.</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567" w:leader="none"/>
        </w:tabs>
        <w:spacing w:lineRule="exact" w:line="360" w:before="0" w:after="120"/>
        <w:ind w:firstLine="567"/>
        <w:contextualSpacing/>
        <w:jc w:val="both"/>
        <w:rPr>
          <w:rFonts w:cs="Times New Roman"/>
          <w:iCs/>
          <w:spacing w:val="-6"/>
          <w:sz w:val="28"/>
          <w:szCs w:val="28"/>
          <w:lang w:val="vi-VN" w:eastAsia="vi-VN"/>
        </w:rPr>
      </w:pPr>
      <w:r>
        <w:rPr>
          <w:rFonts w:cs="Times New Roman"/>
          <w:b/>
          <w:spacing w:val="-6"/>
          <w:sz w:val="28"/>
          <w:szCs w:val="28"/>
          <w:lang w:val="vi-VN"/>
        </w:rPr>
        <w:t xml:space="preserve">5. </w:t>
      </w:r>
      <w:r>
        <w:rPr>
          <w:rFonts w:cs="Times New Roman"/>
          <w:b/>
          <w:spacing w:val="-6"/>
          <w:sz w:val="28"/>
          <w:szCs w:val="28"/>
        </w:rPr>
        <w:t xml:space="preserve">Ban Xây dựng Đảng các đảng uỷ xã, phường, đảng ủy trực thuộc tỉnh; phòng Chính trị </w:t>
      </w:r>
      <w:r>
        <w:rPr>
          <w:b/>
          <w:bCs/>
          <w:spacing w:val="-6"/>
          <w:sz w:val="28"/>
          <w:szCs w:val="28"/>
        </w:rPr>
        <w:t>Bộ Chỉ huy Quân sự tỉnh; phòng Công tác chính trị Công an tỉnh</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cs="Times New Roman"/>
          <w:b/>
          <w:sz w:val="28"/>
          <w:szCs w:val="28"/>
          <w:lang w:val="vi-VN"/>
        </w:rPr>
      </w:pPr>
      <w:r>
        <w:rPr>
          <w:rFonts w:eastAsia="Calibri" w:cs="Times New Roman"/>
          <w:sz w:val="28"/>
          <w:szCs w:val="28"/>
          <w:lang w:val="de-DE"/>
        </w:rPr>
        <w:t>Tham mưu cấp ủy chỉ đạo tổ chức các hoạt động tuyên truyền kỷ niệm 150 năm Ngày sinh cụ Huỳnh Thúc Kháng phù hợp với điều kiện cụ thể của địa phương, đơn vị; tăng cường tuyên truyền trên hệ thống thông tin cơ sở, internet, mạng xã hội và trong sinh hoạt chi bộ, sinh hoạt của các tổ chức chính trị - xã hội.</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567" w:leader="none"/>
        </w:tabs>
        <w:spacing w:lineRule="exact" w:line="360" w:before="0" w:after="120"/>
        <w:ind w:firstLine="567"/>
        <w:contextualSpacing/>
        <w:jc w:val="both"/>
        <w:rPr>
          <w:rFonts w:eastAsia="Calibri" w:cs="Times New Roman"/>
          <w:sz w:val="28"/>
          <w:szCs w:val="28"/>
          <w:lang w:val="de-DE"/>
        </w:rPr>
      </w:pPr>
      <w:r>
        <w:rPr>
          <w:rFonts w:eastAsia="Calibri" w:cs="Times New Roman"/>
          <w:sz w:val="28"/>
          <w:szCs w:val="28"/>
          <w:lang w:val="de-DE"/>
        </w:rPr>
        <w:t>Nắm chắc tình hình tư tưởng, dư luận xã hội; kịp thời tham mưu cấp ủy định hướng, xử lý những vấn đề nhạy cảm, phức tạp phát sinh trong quá trình tổ chức các hoạt động tuyên truyền, kỷ niệm.</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pacing w:val="-6"/>
          <w:sz w:val="28"/>
          <w:szCs w:val="28"/>
          <w:lang w:val="de-DE"/>
        </w:rPr>
      </w:pPr>
      <w:r>
        <w:rPr>
          <w:b/>
          <w:sz w:val="28"/>
          <w:szCs w:val="28"/>
        </w:rPr>
        <w:t xml:space="preserve">6. </w:t>
      </w:r>
      <w:r>
        <w:rPr>
          <w:b/>
          <w:sz w:val="28"/>
          <w:szCs w:val="28"/>
          <w:lang w:val="vi-VN" w:eastAsia="vi-VN"/>
        </w:rPr>
        <w:t xml:space="preserve">Báo </w:t>
      </w:r>
      <w:r>
        <w:rPr>
          <w:b/>
          <w:sz w:val="28"/>
          <w:szCs w:val="28"/>
          <w:lang w:eastAsia="vi-VN"/>
        </w:rPr>
        <w:t>và</w:t>
      </w:r>
      <w:r>
        <w:rPr>
          <w:b/>
          <w:sz w:val="28"/>
          <w:szCs w:val="28"/>
          <w:lang w:val="vi-VN" w:eastAsia="vi-VN"/>
        </w:rPr>
        <w:t xml:space="preserve"> </w:t>
      </w:r>
      <w:r>
        <w:rPr>
          <w:b/>
          <w:sz w:val="28"/>
          <w:szCs w:val="28"/>
          <w:lang w:eastAsia="vi-VN"/>
        </w:rPr>
        <w:t>p</w:t>
      </w:r>
      <w:r>
        <w:rPr>
          <w:b/>
          <w:sz w:val="28"/>
          <w:szCs w:val="28"/>
          <w:lang w:val="vi-VN" w:eastAsia="vi-VN"/>
        </w:rPr>
        <w:t>hát thanh</w:t>
      </w:r>
      <w:r>
        <w:rPr>
          <w:b/>
          <w:sz w:val="28"/>
          <w:szCs w:val="28"/>
          <w:lang w:eastAsia="vi-VN"/>
        </w:rPr>
        <w:t>, t</w:t>
      </w:r>
      <w:r>
        <w:rPr>
          <w:b/>
          <w:sz w:val="28"/>
          <w:szCs w:val="28"/>
          <w:lang w:val="vi-VN" w:eastAsia="vi-VN"/>
        </w:rPr>
        <w:t>ruyền hình tỉnh</w:t>
      </w:r>
      <w:r>
        <w:rPr>
          <w:b/>
          <w:sz w:val="28"/>
          <w:szCs w:val="28"/>
          <w:lang w:eastAsia="vi-VN"/>
        </w:rPr>
        <w:t xml:space="preserve">; Tạp chí Văn nghệ Điện Biên; </w:t>
      </w:r>
      <w:r>
        <w:rPr>
          <w:b/>
          <w:sz w:val="28"/>
          <w:szCs w:val="28"/>
          <w:lang w:val="vi-VN" w:eastAsia="vi-VN"/>
        </w:rPr>
        <w:t>các cơ quan có ấn phẩm báo chí trong tỉnh</w:t>
      </w:r>
      <w:r>
        <w:rPr>
          <w:b/>
          <w:sz w:val="28"/>
          <w:szCs w:val="28"/>
          <w:lang w:eastAsia="vi-VN"/>
        </w:rPr>
        <w:t>; đề nghị các cơ quan báo chí trung ương thường trú trên địa bàn tỉnh</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pacing w:val="-4"/>
          <w:sz w:val="28"/>
          <w:szCs w:val="28"/>
          <w:lang w:val="vi-VN"/>
        </w:rPr>
      </w:pPr>
      <w:r>
        <w:rPr>
          <w:rFonts w:eastAsia="Calibri" w:cs="Times New Roman"/>
          <w:spacing w:val="-4"/>
          <w:sz w:val="28"/>
          <w:szCs w:val="28"/>
          <w:lang w:val="vi-VN"/>
        </w:rPr>
        <w:t>Bám sát định hướng của Ban Tuyên giáo và Dân vận Tỉnh ủy, tăng cường tin, b</w:t>
      </w:r>
      <w:r>
        <w:rPr>
          <w:rFonts w:eastAsia="Calibri" w:cs="Times New Roman"/>
          <w:spacing w:val="-4"/>
          <w:sz w:val="28"/>
          <w:szCs w:val="28"/>
        </w:rPr>
        <w:t xml:space="preserve">ài </w:t>
      </w:r>
      <w:r>
        <w:rPr>
          <w:rFonts w:eastAsia="Calibri" w:cs="Times New Roman"/>
          <w:spacing w:val="-4"/>
          <w:sz w:val="28"/>
          <w:szCs w:val="28"/>
          <w:lang w:val="vi-VN"/>
        </w:rPr>
        <w:t>tuyên truyền về thân thế, cuộc đời, quá trình hoạt động, sự nghiệp cách mạng, những công lao, cống hiến của cụ Huỳnh Thúc Kháng; tấm gương đạo đức, khí tiết, nhân cách và những giá trị lịch sử, thực tiễn từ cuộc đời, sự nghiệp của Cụ.</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z w:val="28"/>
          <w:szCs w:val="28"/>
        </w:rPr>
      </w:pPr>
      <w:r>
        <w:rPr>
          <w:rFonts w:eastAsia="Calibri" w:cs="Times New Roman"/>
          <w:sz w:val="28"/>
          <w:szCs w:val="28"/>
        </w:rPr>
        <w:t>Thực hiện nghiêm chế độ kiểm duyệt, không để xảy ra sai sót, việc đăng tải thông tin tuyên truyền cần phải căn cứ vào nguồn thông tin, tư liệu chính thống do các cơ quan có thẩm quyền cung cấp, phát hành.</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z w:val="28"/>
          <w:szCs w:val="28"/>
        </w:rPr>
      </w:pPr>
      <w:r>
        <w:rPr>
          <w:sz w:val="28"/>
          <w:szCs w:val="28"/>
          <w:lang w:val="vi-VN" w:eastAsia="vi-VN"/>
        </w:rPr>
        <w:t xml:space="preserve">Báo </w:t>
      </w:r>
      <w:r>
        <w:rPr>
          <w:sz w:val="28"/>
          <w:szCs w:val="28"/>
          <w:lang w:eastAsia="vi-VN"/>
        </w:rPr>
        <w:t>và</w:t>
      </w:r>
      <w:r>
        <w:rPr>
          <w:sz w:val="28"/>
          <w:szCs w:val="28"/>
          <w:lang w:val="vi-VN" w:eastAsia="vi-VN"/>
        </w:rPr>
        <w:t xml:space="preserve"> </w:t>
      </w:r>
      <w:r>
        <w:rPr>
          <w:sz w:val="28"/>
          <w:szCs w:val="28"/>
          <w:lang w:eastAsia="vi-VN"/>
        </w:rPr>
        <w:t>p</w:t>
      </w:r>
      <w:r>
        <w:rPr>
          <w:sz w:val="28"/>
          <w:szCs w:val="28"/>
          <w:lang w:val="vi-VN" w:eastAsia="vi-VN"/>
        </w:rPr>
        <w:t>hát thanh</w:t>
      </w:r>
      <w:r>
        <w:rPr>
          <w:sz w:val="28"/>
          <w:szCs w:val="28"/>
          <w:lang w:eastAsia="vi-VN"/>
        </w:rPr>
        <w:t>, t</w:t>
      </w:r>
      <w:r>
        <w:rPr>
          <w:sz w:val="28"/>
          <w:szCs w:val="28"/>
          <w:lang w:val="vi-VN" w:eastAsia="vi-VN"/>
        </w:rPr>
        <w:t>ruyền hình tỉnh</w:t>
      </w:r>
      <w:r>
        <w:rPr>
          <w:sz w:val="28"/>
          <w:szCs w:val="28"/>
          <w:lang w:eastAsia="vi-VN"/>
        </w:rPr>
        <w:t xml:space="preserve"> tổ chức tiếp sóng, phát sóng phim tài liệu về đồng chí Huỳnh Thúc Kháng do Đài Truyền hình Việt Nam thực hiện.</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z w:val="28"/>
          <w:szCs w:val="28"/>
          <w:lang w:val="vi-VN"/>
        </w:rPr>
      </w:pPr>
      <w:r>
        <w:rPr>
          <w:rFonts w:eastAsia="Calibri" w:cs="Times New Roman"/>
          <w:sz w:val="28"/>
          <w:szCs w:val="28"/>
          <w:lang w:val="vi-VN"/>
        </w:rPr>
        <w:t>V- KHẨU HIỆU TUYÊN TRUYỀN</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z w:val="28"/>
          <w:szCs w:val="28"/>
          <w:lang w:val="vi-VN"/>
        </w:rPr>
      </w:pPr>
      <w:r>
        <w:rPr>
          <w:rFonts w:eastAsia="Calibri" w:cs="Times New Roman"/>
          <w:sz w:val="28"/>
          <w:szCs w:val="28"/>
        </w:rPr>
        <w:t xml:space="preserve">1. </w:t>
      </w:r>
      <w:r>
        <w:rPr>
          <w:rFonts w:eastAsia="Calibri" w:cs="Times New Roman"/>
          <w:sz w:val="28"/>
          <w:szCs w:val="28"/>
          <w:lang w:val="vi-VN"/>
        </w:rPr>
        <w:t>Nhiệt liệt chào mừng 150 năm Ngày sinh cụ Huỳnh Thúc Kháng (01/10/1876 - 01/10/2026)!</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pacing w:val="-8"/>
          <w:sz w:val="28"/>
          <w:szCs w:val="28"/>
          <w:lang w:val="vi-VN"/>
        </w:rPr>
      </w:pPr>
      <w:r>
        <w:rPr>
          <w:rFonts w:eastAsia="Calibri" w:cs="Times New Roman"/>
          <w:spacing w:val="-8"/>
          <w:sz w:val="28"/>
          <w:szCs w:val="28"/>
        </w:rPr>
        <w:t xml:space="preserve">2. </w:t>
      </w:r>
      <w:r>
        <w:rPr>
          <w:rFonts w:eastAsia="Calibri" w:cs="Times New Roman"/>
          <w:spacing w:val="-8"/>
          <w:sz w:val="28"/>
          <w:szCs w:val="28"/>
          <w:lang w:val="vi-VN"/>
        </w:rPr>
        <w:t>Cụ Huỳnh Thúc Kháng - Nhà chí sĩ yêu nước, đại trí thức tiêu bi</w:t>
      </w:r>
      <w:r>
        <w:rPr>
          <w:rFonts w:eastAsia="Calibri" w:cs="Times New Roman"/>
          <w:spacing w:val="-8"/>
          <w:sz w:val="28"/>
          <w:szCs w:val="28"/>
        </w:rPr>
        <w:t>ểu</w:t>
      </w:r>
      <w:r>
        <w:rPr>
          <w:rFonts w:eastAsia="Calibri" w:cs="Times New Roman"/>
          <w:spacing w:val="-8"/>
          <w:sz w:val="28"/>
          <w:szCs w:val="28"/>
          <w:lang w:val="vi-VN"/>
        </w:rPr>
        <w:t xml:space="preserve"> của dân tộc!</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z w:val="28"/>
          <w:szCs w:val="28"/>
          <w:lang w:val="vi-VN"/>
        </w:rPr>
      </w:pPr>
      <w:r>
        <w:rPr>
          <w:rFonts w:eastAsia="Calibri" w:cs="Times New Roman"/>
          <w:sz w:val="28"/>
          <w:szCs w:val="28"/>
        </w:rPr>
        <w:t xml:space="preserve">3. </w:t>
      </w:r>
      <w:r>
        <w:rPr>
          <w:rFonts w:eastAsia="Calibri" w:cs="Times New Roman"/>
          <w:sz w:val="28"/>
          <w:szCs w:val="28"/>
          <w:lang w:val="vi-VN"/>
        </w:rPr>
        <w:t>Cụ Huỳnh Thúc Kháng - Nhà yêu nước, nhà lãnh đạo có uy tín lớn, hết lòng vì nước, vì dân!</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z w:val="28"/>
          <w:szCs w:val="28"/>
          <w:lang w:val="vi-VN"/>
        </w:rPr>
      </w:pPr>
      <w:r>
        <w:rPr>
          <w:rFonts w:eastAsia="Calibri" w:cs="Times New Roman"/>
          <w:sz w:val="28"/>
          <w:szCs w:val="28"/>
        </w:rPr>
        <w:t xml:space="preserve">4. </w:t>
      </w:r>
      <w:r>
        <w:rPr>
          <w:rFonts w:eastAsia="Calibri" w:cs="Times New Roman"/>
          <w:sz w:val="28"/>
          <w:szCs w:val="28"/>
          <w:lang w:val="vi-VN"/>
        </w:rPr>
        <w:t>Cụ Huỳnh Thúc Kháng - Tấm gương sáng ngời về lòng yêu nước, khí tiết và nhân cách cao đẹp!</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z w:val="28"/>
          <w:szCs w:val="28"/>
        </w:rPr>
      </w:pPr>
      <w:r>
        <w:rPr>
          <w:rFonts w:eastAsia="Calibri" w:cs="Times New Roman"/>
          <w:sz w:val="28"/>
          <w:szCs w:val="28"/>
        </w:rPr>
        <w:t xml:space="preserve">5. </w:t>
      </w:r>
      <w:r>
        <w:rPr>
          <w:rFonts w:eastAsia="Calibri" w:cs="Times New Roman"/>
          <w:sz w:val="28"/>
          <w:szCs w:val="28"/>
          <w:lang w:val="vi-VN"/>
        </w:rPr>
        <w:t xml:space="preserve">Cụ Huỳnh Thúc Kháng - Nhà hoạt động văn hóa, báo chí xuất sắc, có nhiều </w:t>
      </w:r>
      <w:r>
        <w:rPr>
          <w:rFonts w:eastAsia="Calibri" w:cs="Times New Roman"/>
          <w:sz w:val="28"/>
          <w:szCs w:val="28"/>
        </w:rPr>
        <w:t>đóng góp cho dân tộc!</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z w:val="28"/>
          <w:szCs w:val="28"/>
          <w:lang w:val="vi-VN"/>
        </w:rPr>
      </w:pPr>
      <w:r>
        <w:rPr>
          <w:rFonts w:eastAsia="Calibri" w:cs="Times New Roman"/>
          <w:sz w:val="28"/>
          <w:szCs w:val="28"/>
        </w:rPr>
        <w:t xml:space="preserve">6. </w:t>
      </w:r>
      <w:r>
        <w:rPr>
          <w:rFonts w:eastAsia="Calibri" w:cs="Times New Roman"/>
          <w:sz w:val="28"/>
          <w:szCs w:val="28"/>
          <w:lang w:val="vi-VN"/>
        </w:rPr>
        <w:t>Đảng Cộng sản Việt Nam quang vinh muôn năm!</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z w:val="28"/>
          <w:szCs w:val="28"/>
          <w:lang w:val="vi-VN"/>
        </w:rPr>
      </w:pPr>
      <w:r>
        <w:rPr>
          <w:rFonts w:eastAsia="Calibri" w:cs="Times New Roman"/>
          <w:sz w:val="28"/>
          <w:szCs w:val="28"/>
        </w:rPr>
        <w:t xml:space="preserve">7. </w:t>
      </w:r>
      <w:r>
        <w:rPr>
          <w:rFonts w:eastAsia="Calibri" w:cs="Times New Roman"/>
          <w:sz w:val="28"/>
          <w:szCs w:val="28"/>
          <w:lang w:val="vi-VN"/>
        </w:rPr>
        <w:t>Nước Cộng hòa xã hội chủ nghĩa Việt Nam muôn năm!</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eastAsia="Calibri" w:cs="Times New Roman"/>
          <w:sz w:val="28"/>
          <w:szCs w:val="28"/>
          <w:lang w:val="vi-VN"/>
        </w:rPr>
      </w:pPr>
      <w:r>
        <w:rPr>
          <w:rFonts w:eastAsia="Calibri" w:cs="Times New Roman"/>
          <w:sz w:val="28"/>
          <w:szCs w:val="28"/>
        </w:rPr>
        <w:t xml:space="preserve">8. </w:t>
      </w:r>
      <w:r>
        <w:rPr>
          <w:rFonts w:eastAsia="Calibri" w:cs="Times New Roman"/>
          <w:sz w:val="28"/>
          <w:szCs w:val="28"/>
          <w:lang w:val="vi-VN"/>
        </w:rPr>
        <w:t>Chủ tịch Hồ Chí Minh vĩ đại sống mãi trong sự nghiệp của chúng ta!</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60" w:before="0" w:after="120"/>
        <w:ind w:firstLine="567"/>
        <w:contextualSpacing/>
        <w:jc w:val="both"/>
        <w:rPr>
          <w:rFonts w:cs="Times New Roman"/>
          <w:b/>
          <w:i/>
          <w:iCs/>
          <w:sz w:val="28"/>
          <w:szCs w:val="28"/>
          <w:lang w:val="de-DE"/>
        </w:rPr>
      </w:pPr>
      <w:r>
        <w:rPr>
          <w:rFonts w:cs="Times New Roman"/>
          <w:b/>
          <w:i/>
          <w:iCs/>
          <w:sz w:val="28"/>
          <w:szCs w:val="28"/>
          <w:lang w:val="de-DE"/>
        </w:rPr>
        <w:t>(Ban Tuyên giáo và Dân vận Tỉnh uỷ gửi kèm Đề cương tuyên truyền)</w:t>
      </w:r>
    </w:p>
    <w:tbl>
      <w:tblPr>
        <w:tblW w:w="9180" w:type="dxa"/>
        <w:jc w:val="start"/>
        <w:tblInd w:w="0" w:type="dxa"/>
        <w:tblLayout w:type="fixed"/>
        <w:tblCellMar>
          <w:top w:w="0" w:type="dxa"/>
          <w:start w:w="108" w:type="dxa"/>
          <w:bottom w:w="0" w:type="dxa"/>
          <w:end w:w="108" w:type="dxa"/>
        </w:tblCellMar>
        <w:tblLook w:val="01e0" w:noHBand="0" w:noVBand="0" w:firstColumn="1" w:lastRow="1" w:lastColumn="1" w:firstRow="1"/>
      </w:tblPr>
      <w:tblGrid>
        <w:gridCol w:w="4786"/>
        <w:gridCol w:w="4394"/>
      </w:tblGrid>
      <w:tr>
        <w:trPr/>
        <w:tc>
          <w:tcPr>
            <w:tcW w:w="4786" w:type="dxa"/>
            <w:tcBorders/>
          </w:tcPr>
          <w:p>
            <w:pPr>
              <w:pStyle w:val="Normal"/>
              <w:spacing w:lineRule="exact" w:line="400" w:before="0" w:after="0"/>
              <w:jc w:val="both"/>
              <w:rPr>
                <w:rFonts w:cs="Times New Roman"/>
                <w:sz w:val="28"/>
                <w:szCs w:val="28"/>
                <w:u w:val="single"/>
                <w:lang w:val="de-DE"/>
              </w:rPr>
            </w:pPr>
            <w:r>
              <w:rPr>
                <w:rFonts w:cs="Times New Roman"/>
                <w:sz w:val="28"/>
                <w:szCs w:val="28"/>
                <w:u w:val="single"/>
                <w:lang w:val="de-DE"/>
              </w:rPr>
              <w:t>Nơi nhận</w:t>
            </w:r>
          </w:p>
          <w:p>
            <w:pPr>
              <w:pStyle w:val="Normal"/>
              <w:spacing w:lineRule="auto" w:line="240" w:before="0" w:after="0"/>
              <w:jc w:val="both"/>
              <w:rPr>
                <w:rFonts w:cs="Times New Roman"/>
                <w:sz w:val="24"/>
                <w:szCs w:val="24"/>
                <w:lang w:val="de-DE"/>
              </w:rPr>
            </w:pPr>
            <w:r>
              <w:rPr>
                <w:rFonts w:cs="Times New Roman"/>
                <w:sz w:val="24"/>
                <w:szCs w:val="24"/>
                <w:lang w:val="de-DE"/>
              </w:rPr>
              <w:t xml:space="preserve">- Ban Tuyên giáo TW </w:t>
            </w:r>
            <w:r>
              <w:rPr>
                <w:rFonts w:cs="Times New Roman"/>
                <w:i/>
                <w:sz w:val="24"/>
                <w:szCs w:val="24"/>
                <w:lang w:val="de-DE"/>
              </w:rPr>
              <w:t>(để b/c);</w:t>
            </w:r>
          </w:p>
          <w:p>
            <w:pPr>
              <w:pStyle w:val="Normal"/>
              <w:spacing w:lineRule="auto" w:line="240" w:before="0" w:after="0"/>
              <w:jc w:val="both"/>
              <w:rPr>
                <w:rFonts w:cs="Times New Roman"/>
                <w:sz w:val="24"/>
                <w:szCs w:val="24"/>
                <w:lang w:val="de-DE"/>
              </w:rPr>
            </w:pPr>
            <w:r>
              <w:rPr>
                <w:rFonts w:cs="Times New Roman"/>
                <w:sz w:val="24"/>
                <w:szCs w:val="24"/>
                <w:lang w:val="de-DE"/>
              </w:rPr>
              <w:t xml:space="preserve">- Thường trực Tỉnh uỷ </w:t>
            </w:r>
            <w:r>
              <w:rPr>
                <w:rFonts w:cs="Times New Roman"/>
                <w:i/>
                <w:sz w:val="24"/>
                <w:szCs w:val="24"/>
                <w:lang w:val="de-DE"/>
              </w:rPr>
              <w:t>(để b/c);</w:t>
            </w:r>
          </w:p>
          <w:p>
            <w:pPr>
              <w:pStyle w:val="Normal"/>
              <w:spacing w:lineRule="auto" w:line="240" w:before="0" w:after="0"/>
              <w:jc w:val="both"/>
              <w:rPr>
                <w:rFonts w:cs="Times New Roman"/>
                <w:sz w:val="24"/>
                <w:szCs w:val="24"/>
                <w:lang w:val="vi-VN"/>
              </w:rPr>
            </w:pPr>
            <w:r>
              <w:rPr>
                <w:rFonts w:cs="Times New Roman"/>
                <w:sz w:val="24"/>
                <w:szCs w:val="24"/>
                <w:lang w:val="de-DE"/>
              </w:rPr>
              <w:t xml:space="preserve">- </w:t>
            </w:r>
            <w:r>
              <w:rPr>
                <w:rFonts w:cs="Times New Roman"/>
                <w:sz w:val="24"/>
                <w:szCs w:val="24"/>
                <w:lang w:val="vi-VN"/>
              </w:rPr>
              <w:t>Đ/c Trưởng</w:t>
            </w:r>
            <w:r>
              <w:rPr>
                <w:rFonts w:cs="Times New Roman"/>
                <w:sz w:val="24"/>
                <w:szCs w:val="24"/>
                <w:lang w:val="de-DE"/>
              </w:rPr>
              <w:t xml:space="preserve"> Ban </w:t>
            </w:r>
            <w:r>
              <w:rPr>
                <w:rFonts w:cs="Times New Roman"/>
                <w:i/>
                <w:sz w:val="24"/>
                <w:szCs w:val="24"/>
                <w:lang w:val="de-DE"/>
              </w:rPr>
              <w:t>(để b/c);</w:t>
            </w:r>
          </w:p>
          <w:p>
            <w:pPr>
              <w:pStyle w:val="Normal"/>
              <w:spacing w:lineRule="auto" w:line="240" w:before="0" w:after="0"/>
              <w:jc w:val="both"/>
              <w:rPr>
                <w:rFonts w:cs="Times New Roman"/>
                <w:sz w:val="24"/>
                <w:szCs w:val="24"/>
              </w:rPr>
            </w:pPr>
            <w:r>
              <w:rPr>
                <w:rFonts w:cs="Times New Roman"/>
                <w:sz w:val="24"/>
                <w:szCs w:val="24"/>
                <w:lang w:val="vi-VN"/>
              </w:rPr>
              <w:t xml:space="preserve">- </w:t>
            </w:r>
            <w:r>
              <w:rPr>
                <w:rFonts w:cs="Times New Roman"/>
                <w:sz w:val="24"/>
                <w:szCs w:val="24"/>
              </w:rPr>
              <w:t>Lãnh đạo Ban;</w:t>
            </w:r>
          </w:p>
          <w:p>
            <w:pPr>
              <w:pStyle w:val="Normal"/>
              <w:spacing w:lineRule="auto" w:line="240" w:before="0" w:after="0"/>
              <w:jc w:val="both"/>
              <w:rPr>
                <w:rFonts w:cs="Times New Roman"/>
                <w:sz w:val="24"/>
                <w:szCs w:val="24"/>
              </w:rPr>
            </w:pPr>
            <w:r>
              <w:rPr>
                <w:rFonts w:cs="Times New Roman"/>
                <w:sz w:val="24"/>
                <w:szCs w:val="24"/>
              </w:rPr>
              <w:t xml:space="preserve">- Uỷ ban MTTQ VN và các tổ chức CT-XH tỉnh; </w:t>
            </w:r>
          </w:p>
          <w:p>
            <w:pPr>
              <w:pStyle w:val="Normal"/>
              <w:spacing w:lineRule="auto" w:line="240" w:before="0" w:after="0"/>
              <w:jc w:val="both"/>
              <w:rPr>
                <w:rFonts w:cs="Times New Roman"/>
                <w:spacing w:val="-6"/>
                <w:sz w:val="24"/>
                <w:szCs w:val="24"/>
                <w:lang w:val="de-DE"/>
              </w:rPr>
            </w:pPr>
            <w:r>
              <w:rPr>
                <w:rFonts w:cs="Times New Roman"/>
                <w:spacing w:val="-6"/>
                <w:sz w:val="24"/>
                <w:szCs w:val="24"/>
                <w:lang w:val="de-DE"/>
              </w:rPr>
              <w:t>- Các đảng uỷ xã, phường, đảng uỷ trực thuộc tỉnh;</w:t>
            </w:r>
          </w:p>
          <w:p>
            <w:pPr>
              <w:pStyle w:val="Normal"/>
              <w:spacing w:lineRule="auto" w:line="240" w:before="0" w:after="0"/>
              <w:jc w:val="both"/>
              <w:rPr>
                <w:rFonts w:cs="Times New Roman"/>
                <w:spacing w:val="-8"/>
                <w:sz w:val="24"/>
                <w:szCs w:val="24"/>
                <w:lang w:val="de-DE"/>
              </w:rPr>
            </w:pPr>
            <w:r>
              <w:rPr>
                <w:rFonts w:cs="Times New Roman"/>
                <w:spacing w:val="-8"/>
                <w:sz w:val="24"/>
                <w:szCs w:val="24"/>
                <w:lang w:val="de-DE"/>
              </w:rPr>
              <w:t xml:space="preserve">- Ban Xây dựng Đảng các đảng uỷ xã, phường, đảng ủy trực thuộc tỉnh; </w:t>
            </w:r>
            <w:r>
              <w:rPr>
                <w:spacing w:val="-8"/>
                <w:sz w:val="24"/>
                <w:szCs w:val="24"/>
              </w:rPr>
              <w:t>phòng Chính trị Bộ CHQS tỉnh; phòng Công tác chính trị Công an tỉnh</w:t>
            </w:r>
            <w:r>
              <w:rPr>
                <w:rFonts w:cs="Times New Roman"/>
                <w:spacing w:val="-8"/>
                <w:sz w:val="24"/>
                <w:szCs w:val="24"/>
                <w:lang w:val="de-DE"/>
              </w:rPr>
              <w:t>;</w:t>
            </w:r>
          </w:p>
          <w:p>
            <w:pPr>
              <w:pStyle w:val="Normal"/>
              <w:spacing w:lineRule="auto" w:line="240" w:before="0" w:after="0"/>
              <w:jc w:val="both"/>
              <w:rPr>
                <w:rFonts w:cs="Times New Roman"/>
                <w:sz w:val="24"/>
                <w:szCs w:val="24"/>
                <w:lang w:val="de-DE"/>
              </w:rPr>
            </w:pPr>
            <w:r>
              <w:rPr>
                <w:rFonts w:cs="Times New Roman"/>
                <w:sz w:val="24"/>
                <w:szCs w:val="24"/>
                <w:lang w:val="de-DE"/>
              </w:rPr>
              <w:t>- Sở VH, TT &amp; DL; Tỉnh đoàn Điện Biên;</w:t>
            </w:r>
          </w:p>
          <w:p>
            <w:pPr>
              <w:pStyle w:val="Normal"/>
              <w:spacing w:lineRule="auto" w:line="240" w:before="0" w:after="0"/>
              <w:jc w:val="both"/>
              <w:rPr>
                <w:rFonts w:cs="Times New Roman"/>
                <w:sz w:val="24"/>
                <w:szCs w:val="24"/>
              </w:rPr>
            </w:pPr>
            <w:r>
              <w:rPr>
                <w:rFonts w:cs="Times New Roman"/>
                <w:sz w:val="24"/>
                <w:szCs w:val="24"/>
                <w:lang w:val="de-DE"/>
              </w:rPr>
              <w:t xml:space="preserve">- </w:t>
            </w:r>
            <w:r>
              <w:rPr>
                <w:rFonts w:cs="Times New Roman"/>
                <w:sz w:val="24"/>
                <w:szCs w:val="24"/>
              </w:rPr>
              <w:t>Báo và phát thanh, truyền hình tỉnh; Hội Văn học, Nghệ thuật tỉnh;</w:t>
            </w:r>
          </w:p>
          <w:p>
            <w:pPr>
              <w:pStyle w:val="Normal"/>
              <w:spacing w:lineRule="auto" w:line="240" w:before="0" w:after="0"/>
              <w:jc w:val="both"/>
              <w:rPr>
                <w:rFonts w:cs="Times New Roman"/>
                <w:sz w:val="24"/>
                <w:szCs w:val="24"/>
                <w:lang w:val="de-DE"/>
              </w:rPr>
            </w:pPr>
            <w:r>
              <w:rPr>
                <w:rFonts w:cs="Times New Roman"/>
                <w:sz w:val="24"/>
                <w:szCs w:val="24"/>
                <w:lang w:val="de-DE"/>
              </w:rPr>
              <w:t>- Các cơ quan có ấn phẩm báo chí trong tỉnh;</w:t>
            </w:r>
          </w:p>
          <w:p>
            <w:pPr>
              <w:pStyle w:val="Normal"/>
              <w:spacing w:lineRule="auto" w:line="240" w:before="0" w:after="0"/>
              <w:jc w:val="both"/>
              <w:rPr>
                <w:rFonts w:cs="Times New Roman"/>
                <w:sz w:val="24"/>
                <w:szCs w:val="24"/>
                <w:lang w:val="de-DE"/>
              </w:rPr>
            </w:pPr>
            <w:r>
              <w:rPr>
                <w:rFonts w:cs="Times New Roman"/>
                <w:sz w:val="24"/>
                <w:szCs w:val="24"/>
                <w:lang w:val="de-DE"/>
              </w:rPr>
              <w:t>- Các cơ quan báo chí trung ương thường trú trên địa bàn tỉnh;</w:t>
            </w:r>
          </w:p>
          <w:p>
            <w:pPr>
              <w:pStyle w:val="Normal"/>
              <w:spacing w:lineRule="auto" w:line="240" w:before="0" w:after="0"/>
              <w:jc w:val="both"/>
              <w:rPr>
                <w:rFonts w:cs="Times New Roman"/>
                <w:sz w:val="24"/>
                <w:szCs w:val="24"/>
                <w:lang w:val="de-DE"/>
              </w:rPr>
            </w:pPr>
            <w:r>
              <w:rPr>
                <w:rFonts w:cs="Times New Roman"/>
                <w:sz w:val="24"/>
                <w:szCs w:val="24"/>
                <w:lang w:val="de-DE"/>
              </w:rPr>
              <w:t>- Phòng TT, BC - XB;</w:t>
            </w:r>
          </w:p>
          <w:p>
            <w:pPr>
              <w:pStyle w:val="Normal"/>
              <w:spacing w:lineRule="auto" w:line="240" w:before="0" w:after="0"/>
              <w:jc w:val="both"/>
              <w:rPr>
                <w:rFonts w:cs="Times New Roman"/>
                <w:sz w:val="24"/>
                <w:szCs w:val="24"/>
                <w:lang w:val="de-DE"/>
              </w:rPr>
            </w:pPr>
            <w:r>
              <w:rPr>
                <w:rFonts w:cs="Times New Roman"/>
                <w:sz w:val="24"/>
                <w:szCs w:val="24"/>
                <w:lang w:val="de-DE"/>
              </w:rPr>
              <w:t>- Lưu Văn thư.</w:t>
            </w:r>
          </w:p>
        </w:tc>
        <w:tc>
          <w:tcPr>
            <w:tcW w:w="4394" w:type="dxa"/>
            <w:tcBorders/>
          </w:tcPr>
          <w:p>
            <w:pPr>
              <w:pStyle w:val="Normal"/>
              <w:spacing w:lineRule="auto" w:line="240" w:before="0" w:after="0"/>
              <w:jc w:val="center"/>
              <w:rPr>
                <w:rFonts w:cs="Times New Roman"/>
                <w:sz w:val="28"/>
                <w:szCs w:val="28"/>
                <w:lang w:val="de-DE"/>
              </w:rPr>
            </w:pPr>
            <w:r>
              <w:rPr>
                <w:rFonts w:cs="Times New Roman"/>
                <w:b/>
                <w:sz w:val="28"/>
                <w:szCs w:val="28"/>
                <w:lang w:val="de-DE"/>
              </w:rPr>
              <w:t>K/T TRƯỞNG BAN</w:t>
            </w:r>
            <w:r>
              <w:rPr>
                <w:rFonts w:cs="Times New Roman"/>
                <w:sz w:val="28"/>
                <w:szCs w:val="28"/>
                <w:lang w:val="de-DE"/>
              </w:rPr>
              <w:br/>
              <w:t xml:space="preserve">PHÓ TRƯỞNG BAN </w:t>
            </w:r>
          </w:p>
          <w:p>
            <w:pPr>
              <w:pStyle w:val="Normal"/>
              <w:spacing w:lineRule="exact" w:line="400" w:before="0" w:after="0"/>
              <w:jc w:val="center"/>
              <w:rPr>
                <w:rFonts w:cs="Times New Roman"/>
                <w:sz w:val="28"/>
                <w:szCs w:val="28"/>
                <w:lang w:val="de-DE"/>
              </w:rPr>
            </w:pPr>
            <w:r>
              <w:rPr>
                <w:rFonts w:cs="Times New Roman"/>
                <w:sz w:val="28"/>
                <w:szCs w:val="28"/>
                <w:lang w:val="de-DE"/>
              </w:rPr>
            </w:r>
          </w:p>
          <w:p>
            <w:pPr>
              <w:pStyle w:val="Normal"/>
              <w:spacing w:lineRule="exact" w:line="400" w:before="0" w:after="0"/>
              <w:jc w:val="center"/>
              <w:rPr>
                <w:rFonts w:cs="Times New Roman"/>
                <w:sz w:val="28"/>
                <w:szCs w:val="28"/>
                <w:lang w:val="de-DE"/>
              </w:rPr>
            </w:pPr>
            <w:r>
              <w:rPr>
                <w:rFonts w:cs="Times New Roman"/>
                <w:sz w:val="28"/>
                <w:szCs w:val="28"/>
                <w:lang w:val="de-DE"/>
              </w:rPr>
            </w:r>
          </w:p>
          <w:p>
            <w:pPr>
              <w:pStyle w:val="Normal"/>
              <w:spacing w:lineRule="exact" w:line="400" w:before="0" w:after="0"/>
              <w:jc w:val="center"/>
              <w:rPr>
                <w:rFonts w:cs="Times New Roman"/>
                <w:sz w:val="28"/>
                <w:szCs w:val="28"/>
                <w:lang w:val="de-DE"/>
              </w:rPr>
            </w:pPr>
            <w:r>
              <w:rPr>
                <w:rFonts w:cs="Times New Roman"/>
                <w:sz w:val="28"/>
                <w:szCs w:val="28"/>
                <w:lang w:val="de-DE"/>
              </w:rPr>
            </w:r>
          </w:p>
          <w:p>
            <w:pPr>
              <w:pStyle w:val="Normal"/>
              <w:spacing w:lineRule="exact" w:line="400" w:before="0" w:after="0"/>
              <w:jc w:val="center"/>
              <w:rPr>
                <w:rFonts w:cs="Times New Roman"/>
                <w:sz w:val="28"/>
                <w:szCs w:val="28"/>
                <w:lang w:val="de-DE"/>
              </w:rPr>
            </w:pPr>
            <w:r>
              <w:rPr>
                <w:rFonts w:cs="Times New Roman"/>
                <w:sz w:val="28"/>
                <w:szCs w:val="28"/>
                <w:lang w:val="de-DE"/>
              </w:rPr>
            </w:r>
          </w:p>
          <w:p>
            <w:pPr>
              <w:pStyle w:val="Normal"/>
              <w:spacing w:lineRule="exact" w:line="400" w:before="0" w:after="0"/>
              <w:jc w:val="center"/>
              <w:rPr>
                <w:rFonts w:cs="Times New Roman"/>
                <w:sz w:val="28"/>
                <w:szCs w:val="28"/>
                <w:lang w:val="de-DE"/>
              </w:rPr>
            </w:pPr>
            <w:r>
              <w:rPr>
                <w:rFonts w:cs="Times New Roman"/>
                <w:sz w:val="28"/>
                <w:szCs w:val="28"/>
                <w:lang w:val="de-DE"/>
              </w:rPr>
            </w:r>
          </w:p>
          <w:p>
            <w:pPr>
              <w:pStyle w:val="Normal"/>
              <w:spacing w:lineRule="exact" w:line="400" w:before="0" w:after="0"/>
              <w:jc w:val="center"/>
              <w:rPr>
                <w:rFonts w:cs="Times New Roman"/>
                <w:b/>
                <w:sz w:val="28"/>
                <w:szCs w:val="28"/>
                <w:lang w:val="de-DE"/>
              </w:rPr>
            </w:pPr>
            <w:r>
              <w:rPr>
                <w:rFonts w:cs="Times New Roman"/>
                <w:b/>
                <w:sz w:val="28"/>
                <w:szCs w:val="28"/>
                <w:lang w:val="de-DE"/>
              </w:rPr>
              <w:t>Nguyễn Ngọc Sơn</w:t>
            </w:r>
          </w:p>
        </w:tc>
      </w:tr>
    </w:tbl>
    <w:p>
      <w:pPr>
        <w:pStyle w:val="Normal"/>
        <w:spacing w:lineRule="exact" w:line="400" w:before="0" w:after="0"/>
        <w:jc w:val="both"/>
        <w:rPr>
          <w:rFonts w:cs="Times New Roman"/>
          <w:sz w:val="28"/>
          <w:szCs w:val="28"/>
          <w:lang w:val="vi-VN"/>
        </w:rPr>
      </w:pPr>
      <w:r>
        <w:rPr>
          <w:rFonts w:cs="Times New Roman"/>
          <w:sz w:val="28"/>
          <w:szCs w:val="28"/>
          <w:lang w:val="vi-VN"/>
        </w:rPr>
      </w:r>
    </w:p>
    <w:p>
      <w:pPr>
        <w:pStyle w:val="Normal"/>
        <w:spacing w:before="0" w:after="0"/>
        <w:rPr>
          <w:rFonts w:cs="Times New Roman"/>
          <w:sz w:val="28"/>
          <w:szCs w:val="28"/>
          <w:lang w:val="vi-VN"/>
        </w:rPr>
      </w:pPr>
      <w:r>
        <w:rPr>
          <w:rFonts w:cs="Times New Roman"/>
          <w:sz w:val="28"/>
          <w:szCs w:val="28"/>
          <w:lang w:val="vi-VN"/>
        </w:rPr>
      </w:r>
    </w:p>
    <w:tbl>
      <w:tblPr>
        <w:tblW w:w="9298"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4649"/>
        <w:gridCol w:w="4649"/>
      </w:tblGrid>
      <w:tr>
        <w:trPr/>
        <w:tc>
          <w:tcPr>
            <w:tcW w:w="4649" w:type="dxa"/>
            <w:tcBorders/>
          </w:tcPr>
          <w:p>
            <w:pPr>
              <w:pStyle w:val="Normal"/>
              <w:spacing w:before="0" w:after="200"/>
              <w:rPr>
                <w:rFonts w:cs="Times New Roman"/>
                <w:sz w:val="28"/>
                <w:szCs w:val="28"/>
                <w:lang w:val="vi-VN"/>
              </w:rPr>
            </w:pPr>
            <w:r>
              <w:rPr>
                <w:rFonts w:cs="Times New Roman"/>
                <w:sz w:val="28"/>
                <w:szCs w:val="28"/>
                <w:lang w:val="vi-VN"/>
              </w:rPr>
            </w:r>
          </w:p>
        </w:tc>
        <w:tc>
          <w:tcPr>
            <w:tcW w:w="4649" w:type="dxa"/>
            <w:tcBorders/>
          </w:tcPr>
          <w:p>
            <w:pPr>
              <w:pStyle w:val="Normal"/>
              <w:spacing w:before="0" w:after="200"/>
              <w:jc w:val="center"/>
              <w:rPr>
                <w:rFonts w:cs="Times New Roman"/>
                <w:sz w:val="28"/>
                <w:szCs w:val="28"/>
                <w:lang w:val="vi-VN"/>
              </w:rPr>
            </w:pPr>
            <w:r>
              <w:rPr>
                <w:rFonts w:cs="Times New Roman"/>
                <w:sz w:val="28"/>
                <w:szCs w:val="28"/>
                <w:lang w:val="vi-VN"/>
              </w:rPr>
            </w:r>
          </w:p>
        </w:tc>
      </w:tr>
    </w:tbl>
    <w:p>
      <w:pPr>
        <w:pStyle w:val="Normal"/>
        <w:spacing w:before="0" w:after="200"/>
        <w:rPr>
          <w:rFonts w:cs="Times New Roman"/>
          <w:sz w:val="28"/>
          <w:szCs w:val="28"/>
          <w:lang w:val="vi-VN"/>
        </w:rPr>
      </w:pPr>
      <w:r>
        <w:rPr>
          <w:rFonts w:cs="Times New Roman"/>
          <w:sz w:val="28"/>
          <w:szCs w:val="28"/>
          <w:lang w:val="vi-VN"/>
        </w:rPr>
      </w:r>
    </w:p>
    <w:sectPr>
      <w:headerReference w:type="even" r:id="rId2"/>
      <w:headerReference w:type="default" r:id="rId3"/>
      <w:headerReference w:type="first" r:id="rId4"/>
      <w:type w:val="nextPage"/>
      <w:pgSz w:w="11906" w:h="16838"/>
      <w:pgMar w:left="1701" w:right="851" w:gutter="0" w:header="567"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Cambria">
    <w:charset w:val="01" w:characterSet="utf-8"/>
    <w:family w:val="roman"/>
    <w:pitch w:val="variable"/>
  </w:font>
  <w:font w:name="Times New Roman">
    <w:charset w:val="01" w:characterSet="utf-8"/>
    <w:family w:val="roman"/>
    <w:pitch w:val="variable"/>
  </w:font>
  <w:font w:name="Calibri">
    <w:charset w:val="01" w:characterSet="utf-8"/>
    <w:family w:val="roman"/>
    <w:pitch w:val="variable"/>
  </w:font>
  <w:font w:name="Courier">
    <w:altName w:val="Courier New"/>
    <w:charset w:val="01" w:characterSet="utf-8"/>
    <w:family w:val="roman"/>
    <w:pitch w:val="variable"/>
  </w:font>
  <w:font w:name="Segoe UI">
    <w:charset w:val="01" w:characterSet="utf-8"/>
    <w:family w:val="swiss"/>
    <w:pitch w:val="variable"/>
  </w:font>
  <w:font w:name="OpenSymbol">
    <w:altName w:val="Arial Unicode MS"/>
    <w:charset w:val="01" w:characterSet="utf-8"/>
    <w:family w:val="roman"/>
    <w:pitch w:val="variable"/>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27137942"/>
    </w:sdtPr>
    <w:sdtContent>
      <w:p>
        <w:pPr>
          <w:pStyle w:val="Header"/>
          <w:jc w:val="center"/>
          <w:rPr/>
        </w:pPr>
        <w:r>
          <w:rPr/>
          <w:fldChar w:fldCharType="begin"/>
        </w:r>
        <w:r>
          <w:rPr/>
          <w:instrText xml:space="preserve"> PAGE </w:instrText>
        </w:r>
        <w:r>
          <w:rPr/>
          <w:fldChar w:fldCharType="separate"/>
        </w:r>
        <w:r>
          <w:rPr/>
          <w:t>5</w:t>
        </w:r>
        <w:r>
          <w:rPr/>
          <w:fldChar w:fldCharType="end"/>
        </w:r>
      </w:p>
    </w:sdtContent>
  </w:sdt>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1080"/>
        </w:tabs>
        <w:ind w:start="108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decimal"/>
      <w:lvlText w:val="%1."/>
      <w:lvlJc w:val="start"/>
      <w:pPr>
        <w:tabs>
          <w:tab w:val="num" w:pos="1080"/>
        </w:tabs>
        <w:ind w:start="108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fc693f"/>
    <w:pPr>
      <w:widowControl/>
      <w:suppressAutoHyphens w:val="true"/>
      <w:bidi w:val="0"/>
      <w:spacing w:lineRule="auto" w:line="276" w:before="0" w:after="200"/>
      <w:jc w:val="start"/>
    </w:pPr>
    <w:rPr>
      <w:rFonts w:ascii="Times New Roman" w:hAnsi="Times New Roman" w:eastAsia="Times New Roman" w:cs="" w:cstheme="minorBidi"/>
      <w:color w:val="auto"/>
      <w:kern w:val="0"/>
      <w:sz w:val="26"/>
      <w:szCs w:val="22"/>
      <w:lang w:val="en-US" w:eastAsia="en-US" w:bidi="ar-SA"/>
    </w:rPr>
  </w:style>
  <w:style w:type="paragraph" w:styleId="Heading1">
    <w:name w:val="heading 1"/>
    <w:basedOn w:val="Normal"/>
    <w:next w:val="Normal"/>
    <w:link w:val="Heading1Char"/>
    <w:uiPriority w:val="9"/>
    <w:qFormat/>
    <w:rsid w:val="00fc693f"/>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Heading2Char"/>
    <w:uiPriority w:val="9"/>
    <w:unhideWhenUsed/>
    <w:qFormat/>
    <w:rsid w:val="00fc693f"/>
    <w:pPr>
      <w:keepNext w:val="true"/>
      <w:keepLines/>
      <w:spacing w:before="200" w:after="0"/>
      <w:outlineLvl w:val="1"/>
    </w:pPr>
    <w:rPr>
      <w:rFonts w:ascii="Calibri" w:hAnsi="Calibri" w:eastAsia="" w:cs="" w:asciiTheme="majorHAnsi" w:cstheme="majorBidi" w:eastAsiaTheme="majorEastAsia" w:hAnsiTheme="majorHAnsi"/>
      <w:b/>
      <w:bCs/>
      <w:color w:themeColor="accent1" w:val="4F81BD"/>
      <w:szCs w:val="26"/>
    </w:rPr>
  </w:style>
  <w:style w:type="paragraph" w:styleId="Heading3">
    <w:name w:val="heading 3"/>
    <w:basedOn w:val="Normal"/>
    <w:next w:val="Normal"/>
    <w:link w:val="Heading3Char"/>
    <w:uiPriority w:val="9"/>
    <w:unhideWhenUsed/>
    <w:qFormat/>
    <w:rsid w:val="00fc693f"/>
    <w:pPr>
      <w:keepNext w:val="true"/>
      <w:keepLines/>
      <w:spacing w:before="200" w:after="0"/>
      <w:outlineLvl w:val="2"/>
    </w:pPr>
    <w:rPr>
      <w:rFonts w:ascii="Calibri" w:hAnsi="Calibri" w:eastAsia="" w:cs="" w:asciiTheme="majorHAnsi" w:cstheme="majorBidi" w:eastAsiaTheme="majorEastAsia" w:hAnsiTheme="majorHAnsi"/>
      <w:b/>
      <w:bCs/>
      <w:color w:themeColor="accent1" w:val="4F81BD"/>
    </w:rPr>
  </w:style>
  <w:style w:type="paragraph" w:styleId="Heading4">
    <w:name w:val="heading 4"/>
    <w:basedOn w:val="Normal"/>
    <w:next w:val="Normal"/>
    <w:link w:val="Heading4Char"/>
    <w:uiPriority w:val="9"/>
    <w:semiHidden/>
    <w:unhideWhenUsed/>
    <w:qFormat/>
    <w:rsid w:val="00fc693f"/>
    <w:pPr>
      <w:keepNext w:val="true"/>
      <w:keepLines/>
      <w:spacing w:before="200" w:after="0"/>
      <w:outlineLvl w:val="3"/>
    </w:pPr>
    <w:rPr>
      <w:rFonts w:ascii="Calibri" w:hAnsi="Calibri" w:eastAsia=""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outlineLvl w:val="4"/>
    </w:pPr>
    <w:rPr>
      <w:rFonts w:ascii="Calibri" w:hAnsi="Calibri" w:eastAsia=""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outlineLvl w:val="5"/>
    </w:pPr>
    <w:rPr>
      <w:rFonts w:ascii="Calibri" w:hAnsi="Calibri" w:eastAsia=""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outlineLvl w:val="6"/>
    </w:pPr>
    <w:rPr>
      <w:rFonts w:ascii="Calibri" w:hAnsi="Calibri" w:eastAsia=""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outlineLvl w:val="7"/>
    </w:pPr>
    <w:rPr>
      <w:rFonts w:ascii="Calibri" w:hAnsi="Calibri" w:eastAsia=""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outlineLvl w:val="8"/>
    </w:pPr>
    <w:rPr>
      <w:rFonts w:ascii="Calibri" w:hAnsi="Calibri" w:eastAsia="" w:cs="" w:asciiTheme="majorHAnsi" w:cstheme="majorBidi" w:eastAsiaTheme="majorEastAsia" w:hAnsiTheme="majorHAnsi"/>
      <w:i/>
      <w:iCs/>
      <w:color w:themeColor="text1" w:themeTint="bf" w:val="404040"/>
      <w:sz w:val="20"/>
      <w:szCs w:val="20"/>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e618bf"/>
    <w:rPr/>
  </w:style>
  <w:style w:type="character" w:styleId="FooterChar" w:customStyle="1">
    <w:name w:val="Footer Char"/>
    <w:basedOn w:val="DefaultParagraphFont"/>
    <w:link w:val="Footer"/>
    <w:uiPriority w:val="99"/>
    <w:qFormat/>
    <w:rsid w:val="00e618bf"/>
    <w:rPr/>
  </w:style>
  <w:style w:type="character" w:styleId="Heading1Char" w:customStyle="1">
    <w:name w:val="Heading 1 Char"/>
    <w:basedOn w:val="DefaultParagraphFont"/>
    <w:link w:val="Heading1"/>
    <w:uiPriority w:val="9"/>
    <w:qFormat/>
    <w:rsid w:val="00fc693f"/>
    <w:rPr>
      <w:rFonts w:ascii="Calibri" w:hAnsi="Calibri" w:eastAsia=""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link w:val="Heading2"/>
    <w:uiPriority w:val="9"/>
    <w:qFormat/>
    <w:rsid w:val="00fc693f"/>
    <w:rPr>
      <w:rFonts w:ascii="Calibri" w:hAnsi="Calibri" w:eastAsia=""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link w:val="Heading3"/>
    <w:uiPriority w:val="9"/>
    <w:qFormat/>
    <w:rsid w:val="00fc693f"/>
    <w:rPr>
      <w:rFonts w:ascii="Calibri" w:hAnsi="Calibri" w:eastAsia="" w:cs="" w:asciiTheme="majorHAnsi" w:cstheme="majorBidi" w:eastAsiaTheme="majorEastAsia" w:hAnsiTheme="majorHAnsi"/>
      <w:b/>
      <w:bCs/>
      <w:color w:themeColor="accent1" w:val="4F81BD"/>
    </w:rPr>
  </w:style>
  <w:style w:type="character" w:styleId="TitleChar" w:customStyle="1">
    <w:name w:val="Title Char"/>
    <w:basedOn w:val="DefaultParagraphFont"/>
    <w:link w:val="Title"/>
    <w:uiPriority w:val="10"/>
    <w:qFormat/>
    <w:rsid w:val="00fc693f"/>
    <w:rPr>
      <w:rFonts w:ascii="Calibri" w:hAnsi="Calibri" w:eastAsia=""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link w:val="Subtitle"/>
    <w:uiPriority w:val="11"/>
    <w:qFormat/>
    <w:rsid w:val="00fc693f"/>
    <w:rPr>
      <w:rFonts w:ascii="Calibri" w:hAnsi="Calibri" w:eastAsia=""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Text"/>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link w:val="Heading4"/>
    <w:uiPriority w:val="9"/>
    <w:semiHidden/>
    <w:qFormat/>
    <w:rsid w:val="00fc693f"/>
    <w:rPr>
      <w:rFonts w:ascii="Calibri" w:hAnsi="Calibri" w:eastAsia="" w:cs="" w:asciiTheme="majorHAnsi" w:cstheme="majorBidi" w:eastAsiaTheme="majorEastAsia" w:hAnsiTheme="majorHAnsi"/>
      <w:b/>
      <w:bCs/>
      <w:i/>
      <w:iCs/>
      <w:color w:themeColor="accent1" w:val="4F81BD"/>
    </w:rPr>
  </w:style>
  <w:style w:type="character" w:styleId="Heading5Char" w:customStyle="1">
    <w:name w:val="Heading 5 Char"/>
    <w:basedOn w:val="DefaultParagraphFont"/>
    <w:link w:val="Heading5"/>
    <w:uiPriority w:val="9"/>
    <w:semiHidden/>
    <w:qFormat/>
    <w:rsid w:val="00fc693f"/>
    <w:rPr>
      <w:rFonts w:ascii="Calibri" w:hAnsi="Calibri" w:eastAsia="" w:cs="" w:asciiTheme="majorHAnsi" w:cstheme="majorBidi" w:eastAsiaTheme="majorEastAsia" w:hAnsiTheme="majorHAnsi"/>
      <w:color w:themeColor="accent1" w:themeShade="7f" w:val="243F60"/>
    </w:rPr>
  </w:style>
  <w:style w:type="character" w:styleId="Heading6Char" w:customStyle="1">
    <w:name w:val="Heading 6 Char"/>
    <w:basedOn w:val="DefaultParagraphFont"/>
    <w:link w:val="Heading6"/>
    <w:uiPriority w:val="9"/>
    <w:semiHidden/>
    <w:qFormat/>
    <w:rsid w:val="00fc693f"/>
    <w:rPr>
      <w:rFonts w:ascii="Calibri" w:hAnsi="Calibri" w:eastAsia=""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link w:val="Heading7"/>
    <w:uiPriority w:val="9"/>
    <w:semiHidden/>
    <w:qFormat/>
    <w:rsid w:val="00fc693f"/>
    <w:rPr>
      <w:rFonts w:ascii="Calibri" w:hAnsi="Calibri" w:eastAsia=""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link w:val="Heading8"/>
    <w:uiPriority w:val="9"/>
    <w:semiHidden/>
    <w:qFormat/>
    <w:rsid w:val="00fc693f"/>
    <w:rPr>
      <w:rFonts w:ascii="Calibri" w:hAnsi="Calibri" w:eastAsia=""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link w:val="Heading9"/>
    <w:uiPriority w:val="9"/>
    <w:semiHidden/>
    <w:qFormat/>
    <w:rsid w:val="00fc693f"/>
    <w:rPr>
      <w:rFonts w:ascii="Calibri" w:hAnsi="Calibri" w:eastAsia=""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character" w:styleId="BalloonTextChar" w:customStyle="1">
    <w:name w:val="Balloon Text Char"/>
    <w:basedOn w:val="DefaultParagraphFont"/>
    <w:link w:val="BalloonText"/>
    <w:uiPriority w:val="99"/>
    <w:semiHidden/>
    <w:qFormat/>
    <w:rsid w:val="00187493"/>
    <w:rPr>
      <w:rFonts w:ascii="Segoe UI" w:hAnsi="Segoe UI" w:eastAsia="Times New Roman" w:cs="Segoe UI"/>
      <w:sz w:val="18"/>
      <w:szCs w:val="18"/>
    </w:rPr>
  </w:style>
  <w:style w:type="character" w:styleId="NormalWebChar" w:customStyle="1">
    <w:name w:val="Normal (Web) Char"/>
    <w:link w:val="NormalWeb"/>
    <w:qFormat/>
    <w:locked/>
    <w:rsid w:val="00ec1e97"/>
    <w:rPr>
      <w:rFonts w:eastAsia="Times New Roman" w:cs="Times New Roman"/>
      <w:sz w:val="24"/>
      <w:szCs w:val="24"/>
    </w:rPr>
  </w:style>
  <w:style w:type="character" w:styleId="Bulletsuser" w:customStyle="1">
    <w:name w:val="Bullets (user)"/>
    <w:qFormat/>
    <w:rPr>
      <w:rFonts w:ascii="OpenSymbol" w:hAnsi="OpenSymbol" w:eastAsia="OpenSymbol" w:cs="OpenSymbol"/>
    </w:rPr>
  </w:style>
  <w:style w:type="character" w:styleId="NumberingSymbols" w:customStyle="1">
    <w:name w:val="Numbering Symbols"/>
    <w:qFormat/>
    <w:rPr/>
  </w:style>
  <w:style w:type="paragraph" w:styleId="Heading" w:customStyle="1">
    <w:name w:val="Heading"/>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link w:val="BodyTextChar"/>
    <w:uiPriority w:val="99"/>
    <w:unhideWhenUsed/>
    <w:rsid w:val="00aa1d8d"/>
    <w:pPr>
      <w:spacing w:before="0" w:after="120"/>
    </w:pPr>
    <w:rPr/>
  </w:style>
  <w:style w:type="paragraph" w:styleId="List">
    <w:name w:val="List"/>
    <w:basedOn w:val="Normal"/>
    <w:uiPriority w:val="99"/>
    <w:unhideWhenUsed/>
    <w:rsid w:val="00aa1d8d"/>
    <w:pPr>
      <w:spacing w:before="0" w:after="200"/>
      <w:ind w:hanging="360" w:start="360"/>
      <w:contextualSpacing/>
    </w:pPr>
    <w:rPr/>
  </w:style>
  <w:style w:type="paragraph" w:styleId="Caption">
    <w:name w:val="caption"/>
    <w:basedOn w:val="Normal"/>
    <w:next w:val="Normal"/>
    <w:uiPriority w:val="35"/>
    <w:semiHidden/>
    <w:unhideWhenUsed/>
    <w:qFormat/>
    <w:rsid w:val="00fc693f"/>
    <w:pPr>
      <w:spacing w:lineRule="auto" w:line="240"/>
    </w:pPr>
    <w:rPr>
      <w:b/>
      <w:bCs/>
      <w:color w:themeColor="accent1" w:val="4F81BD"/>
      <w:sz w:val="18"/>
      <w:szCs w:val="18"/>
    </w:rPr>
  </w:style>
  <w:style w:type="paragraph" w:styleId="Index" w:customStyle="1">
    <w:name w:val="Index"/>
    <w:basedOn w:val="Normal"/>
    <w:qFormat/>
    <w:pPr>
      <w:suppressLineNumbers/>
    </w:pPr>
    <w:rPr>
      <w:rFonts w:cs="Noto Sans"/>
    </w:rPr>
  </w:style>
  <w:style w:type="paragraph" w:styleId="HeaderandFooter" w:customStyle="1">
    <w:name w:val="Header and Footer"/>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lineRule="auto" w:line="240" w:before="0" w:after="0"/>
    </w:pPr>
    <w:rPr/>
  </w:style>
  <w:style w:type="paragraph" w:styleId="NoSpacing">
    <w:name w:val="No Spacing"/>
    <w:uiPriority w:val="1"/>
    <w:qFormat/>
    <w:rsid w:val="00fc693f"/>
    <w:pPr>
      <w:widowControl/>
      <w:suppressAutoHyphens w:val="true"/>
      <w:bidi w:val="0"/>
      <w:spacing w:before="0" w:after="0"/>
      <w:jc w:val="start"/>
    </w:pPr>
    <w:rPr>
      <w:rFonts w:ascii="Cambria" w:hAnsi="Cambria" w:eastAsia="" w:cs="" w:asciiTheme="minorHAnsi" w:cstheme="minorBidi" w:eastAsiaTheme="minorEastAsia" w:hAnsiTheme="minorHAnsi"/>
      <w:color w:val="auto"/>
      <w:kern w:val="0"/>
      <w:sz w:val="22"/>
      <w:szCs w:val="22"/>
      <w:lang w:val="en-US" w:eastAsia="en-US" w:bidi="ar-SA"/>
    </w:rPr>
  </w:style>
  <w:style w:type="paragraph" w:styleId="Title">
    <w:name w:val="Title"/>
    <w:basedOn w:val="Normal"/>
    <w:next w:val="Normal"/>
    <w:link w:val="TitleChar"/>
    <w:uiPriority w:val="10"/>
    <w:qFormat/>
    <w:rsid w:val="00fc693f"/>
    <w:pPr>
      <w:pBdr>
        <w:bottom w:val="single" w:sz="8" w:space="4" w:color="4F81BD" w:themeColor="accent1"/>
      </w:pBdr>
      <w:spacing w:lineRule="auto" w:line="240"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Subtitle">
    <w:name w:val="Subtitle"/>
    <w:basedOn w:val="Normal"/>
    <w:next w:val="Normal"/>
    <w:link w:val="SubtitleChar"/>
    <w:uiPriority w:val="11"/>
    <w:qFormat/>
    <w:rsid w:val="00fc693f"/>
    <w:pPr/>
    <w:rPr>
      <w:rFonts w:ascii="Calibri" w:hAnsi="Calibri" w:eastAsia="" w:cs="" w:asciiTheme="majorHAnsi" w:cstheme="majorBidi" w:eastAsiaTheme="majorEastAsia" w:hAnsiTheme="majorHAnsi"/>
      <w:i/>
      <w:iCs/>
      <w:color w:themeColor="accent1" w:val="4F81BD"/>
      <w:spacing w:val="15"/>
      <w:sz w:val="24"/>
      <w:szCs w:val="24"/>
    </w:rPr>
  </w:style>
  <w:style w:type="paragraph" w:styleId="ListParagraph">
    <w:name w:val="List Paragraph"/>
    <w:basedOn w:val="Normal"/>
    <w:uiPriority w:val="34"/>
    <w:qFormat/>
    <w:rsid w:val="00fc693f"/>
    <w:pPr>
      <w:spacing w:before="0" w:after="200"/>
      <w:ind w:start="720"/>
      <w:contextualSpacing/>
    </w:pPr>
    <w:rPr/>
  </w:style>
  <w:style w:type="paragraph" w:styleId="BodyText2">
    <w:name w:val="Body Text 2"/>
    <w:basedOn w:val="Normal"/>
    <w:link w:val="BodyText2Char"/>
    <w:uiPriority w:val="99"/>
    <w:unhideWhenUsed/>
    <w:qFormat/>
    <w:rsid w:val="00aa1d8d"/>
    <w:pPr>
      <w:spacing w:lineRule="auto" w:line="480" w:before="0" w:after="120"/>
    </w:pPr>
    <w:rPr/>
  </w:style>
  <w:style w:type="paragraph" w:styleId="BodyText3">
    <w:name w:val="Body Text 3"/>
    <w:basedOn w:val="Normal"/>
    <w:link w:val="BodyText3Char"/>
    <w:uiPriority w:val="99"/>
    <w:unhideWhenUsed/>
    <w:qFormat/>
    <w:rsid w:val="00aa1d8d"/>
    <w:pPr>
      <w:spacing w:before="0" w:after="120"/>
    </w:pPr>
    <w:rPr>
      <w:sz w:val="16"/>
      <w:szCs w:val="16"/>
    </w:rPr>
  </w:style>
  <w:style w:type="paragraph" w:styleId="List2">
    <w:name w:val="List 2"/>
    <w:basedOn w:val="Normal"/>
    <w:uiPriority w:val="99"/>
    <w:unhideWhenUsed/>
    <w:qFormat/>
    <w:rsid w:val="00326f90"/>
    <w:pPr>
      <w:spacing w:before="0" w:after="200"/>
      <w:ind w:hanging="360" w:start="720"/>
      <w:contextualSpacing/>
    </w:pPr>
    <w:rPr/>
  </w:style>
  <w:style w:type="paragraph" w:styleId="List3">
    <w:name w:val="List 3"/>
    <w:basedOn w:val="Normal"/>
    <w:uiPriority w:val="99"/>
    <w:unhideWhenUsed/>
    <w:qFormat/>
    <w:rsid w:val="00326f90"/>
    <w:pPr>
      <w:spacing w:before="0" w:after="200"/>
      <w:ind w:hanging="360" w:start="1080"/>
      <w:contextualSpacing/>
    </w:pPr>
    <w:rPr/>
  </w:style>
  <w:style w:type="paragraph" w:styleId="ListBullet">
    <w:name w:val="List Bullet"/>
    <w:basedOn w:val="Normal"/>
    <w:uiPriority w:val="99"/>
    <w:unhideWhenUsed/>
    <w:rsid w:val="00326f90"/>
    <w:pPr>
      <w:numPr>
        <w:ilvl w:val="0"/>
        <w:numId w:val="1"/>
      </w:numPr>
      <w:spacing w:before="0" w:after="200"/>
      <w:contextualSpacing/>
    </w:pPr>
    <w:rPr/>
  </w:style>
  <w:style w:type="paragraph" w:styleId="ListBullet2">
    <w:name w:val="List Bullet 2"/>
    <w:basedOn w:val="Normal"/>
    <w:uiPriority w:val="99"/>
    <w:unhideWhenUsed/>
    <w:rsid w:val="00326f90"/>
    <w:pPr>
      <w:numPr>
        <w:ilvl w:val="0"/>
        <w:numId w:val="2"/>
      </w:numPr>
      <w:spacing w:before="0" w:after="200"/>
      <w:contextualSpacing/>
    </w:pPr>
    <w:rPr/>
  </w:style>
  <w:style w:type="paragraph" w:styleId="ListBullet3">
    <w:name w:val="List Bullet 3"/>
    <w:basedOn w:val="Normal"/>
    <w:uiPriority w:val="99"/>
    <w:unhideWhenUsed/>
    <w:rsid w:val="00326f90"/>
    <w:pPr>
      <w:numPr>
        <w:ilvl w:val="0"/>
        <w:numId w:val="3"/>
      </w:numPr>
      <w:spacing w:before="0" w:after="200"/>
      <w:contextualSpacing/>
    </w:pPr>
    <w:rPr/>
  </w:style>
  <w:style w:type="paragraph" w:styleId="ListNumber">
    <w:name w:val="List Number"/>
    <w:basedOn w:val="Normal"/>
    <w:uiPriority w:val="99"/>
    <w:unhideWhenUsed/>
    <w:rsid w:val="00326f90"/>
    <w:pPr>
      <w:numPr>
        <w:ilvl w:val="0"/>
        <w:numId w:val="4"/>
      </w:numPr>
      <w:spacing w:before="0" w:after="200"/>
      <w:contextualSpacing/>
    </w:pPr>
    <w:rPr/>
  </w:style>
  <w:style w:type="paragraph" w:styleId="ListNumber2">
    <w:name w:val="List Number 2"/>
    <w:basedOn w:val="Normal"/>
    <w:uiPriority w:val="99"/>
    <w:unhideWhenUsed/>
    <w:rsid w:val="0029639d"/>
    <w:pPr>
      <w:numPr>
        <w:ilvl w:val="0"/>
        <w:numId w:val="5"/>
      </w:numPr>
      <w:spacing w:before="0" w:after="200"/>
      <w:contextualSpacing/>
    </w:pPr>
    <w:rPr/>
  </w:style>
  <w:style w:type="paragraph" w:styleId="ListNumber3">
    <w:name w:val="List Number 3"/>
    <w:basedOn w:val="Normal"/>
    <w:uiPriority w:val="99"/>
    <w:unhideWhenUsed/>
    <w:rsid w:val="0029639d"/>
    <w:pPr>
      <w:numPr>
        <w:ilvl w:val="0"/>
        <w:numId w:val="6"/>
      </w:numPr>
      <w:spacing w:before="0" w:after="200"/>
      <w:contextualSpacing/>
    </w:pPr>
    <w:rPr/>
  </w:style>
  <w:style w:type="paragraph" w:styleId="ListContinue">
    <w:name w:val="List Continue"/>
    <w:basedOn w:val="Normal"/>
    <w:uiPriority w:val="99"/>
    <w:unhideWhenUsed/>
    <w:rsid w:val="0029639d"/>
    <w:pPr>
      <w:spacing w:before="0" w:after="120"/>
      <w:ind w:start="360"/>
      <w:contextualSpacing/>
    </w:pPr>
    <w:rPr/>
  </w:style>
  <w:style w:type="paragraph" w:styleId="ListContinue2">
    <w:name w:val="List Continue 2"/>
    <w:basedOn w:val="Normal"/>
    <w:uiPriority w:val="99"/>
    <w:unhideWhenUsed/>
    <w:rsid w:val="0029639d"/>
    <w:pPr>
      <w:spacing w:before="0" w:after="120"/>
      <w:ind w:start="720"/>
      <w:contextualSpacing/>
    </w:pPr>
    <w:rPr/>
  </w:style>
  <w:style w:type="paragraph" w:styleId="ListContinue3">
    <w:name w:val="List Continue 3"/>
    <w:basedOn w:val="Normal"/>
    <w:uiPriority w:val="99"/>
    <w:unhideWhenUsed/>
    <w:rsid w:val="0029639d"/>
    <w:pPr>
      <w:spacing w:before="0" w:after="120"/>
      <w:ind w:start="1080"/>
      <w:contextualSpacing/>
    </w:pPr>
    <w:rPr/>
  </w:style>
  <w:style w:type="paragraph" w:styleId="MacroText">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suppressAutoHyphens w:val="true"/>
      <w:bidi w:val="0"/>
      <w:spacing w:lineRule="auto" w:line="276" w:before="0" w:after="200"/>
      <w:jc w:val="start"/>
    </w:pPr>
    <w:rPr>
      <w:rFonts w:ascii="Courier" w:hAnsi="Courier" w:eastAsia=""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start="936" w:end="936"/>
    </w:pPr>
    <w:rPr>
      <w:b/>
      <w:bCs/>
      <w:i/>
      <w:iCs/>
      <w:color w:themeColor="accent1" w:val="4F81BD"/>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fc693f"/>
    <w:pPr>
      <w:outlineLvl w:val="9"/>
    </w:pPr>
    <w:rPr/>
  </w:style>
  <w:style w:type="paragraph" w:styleId="BalloonText">
    <w:name w:val="Balloon Text"/>
    <w:basedOn w:val="Normal"/>
    <w:link w:val="BalloonTextChar"/>
    <w:uiPriority w:val="99"/>
    <w:semiHidden/>
    <w:unhideWhenUsed/>
    <w:qFormat/>
    <w:rsid w:val="00187493"/>
    <w:pPr>
      <w:spacing w:lineRule="auto" w:line="240" w:before="0" w:after="0"/>
    </w:pPr>
    <w:rPr>
      <w:rFonts w:ascii="Segoe UI" w:hAnsi="Segoe UI" w:cs="Segoe UI"/>
      <w:sz w:val="18"/>
      <w:szCs w:val="18"/>
    </w:rPr>
  </w:style>
  <w:style w:type="paragraph" w:styleId="NormalWeb">
    <w:name w:val="Normal (Web)"/>
    <w:basedOn w:val="Normal"/>
    <w:link w:val="NormalWebChar"/>
    <w:uiPriority w:val="99"/>
    <w:unhideWhenUsed/>
    <w:qFormat/>
    <w:rsid w:val="00ec1e97"/>
    <w:pPr>
      <w:spacing w:lineRule="auto" w:line="240" w:beforeAutospacing="1" w:afterAutospacing="1"/>
    </w:pPr>
    <w:rPr>
      <w:rFonts w:ascii="Cambria" w:hAnsi="Cambria" w:cs="Times New Roman" w:asciiTheme="minorHAnsi" w:hAnsiTheme="minorHAnsi"/>
      <w:sz w:val="24"/>
      <w:szCs w:val="24"/>
    </w:rPr>
  </w:style>
  <w:style w:type="paragraph" w:styleId="isselectedend" w:customStyle="1">
    <w:name w:val="isselectedend"/>
    <w:basedOn w:val="Normal"/>
    <w:qFormat/>
    <w:rsid w:val="003b6121"/>
    <w:pPr>
      <w:suppressAutoHyphens w:val="false"/>
      <w:spacing w:lineRule="auto" w:line="240" w:beforeAutospacing="1" w:afterAutospacing="1"/>
    </w:pPr>
    <w:rPr>
      <w:rFonts w:cs="Times New Roman"/>
      <w:sz w:val="24"/>
      <w:szCs w:val="24"/>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rPr>
      <w:color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themeColor="background1"/>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themeColor="background1"/>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themeColor="background1"/>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themeColor="background1"/>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themeColor="background1"/>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themeColor="background1"/>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themeColor="background1"/>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rPr>
      <w:color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Pr/>
    </w:tblStylePr>
    <w:tblStylePr w:type="lastRow">
      <w:rPr>
        <w:b/>
        <w:bCs/>
      </w:rPr>
      <w:tblPr/>
      <w:tcPr>
        <w:tcBorders>
          <w:top w:val="single" w:color="00000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Pr/>
    </w:tblStylePr>
    <w:tblStylePr w:type="lastRow">
      <w:rPr>
        <w:b/>
        <w:bCs/>
      </w:rPr>
      <w:tblPr/>
      <w:tcPr>
        <w:tcBorders>
          <w:top w:val="single" w:color="4F81B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Pr/>
    </w:tblStylePr>
    <w:tblStylePr w:type="lastRow">
      <w:rPr>
        <w:b/>
        <w:bCs/>
      </w:rPr>
      <w:tblPr/>
      <w:tcPr>
        <w:tcBorders>
          <w:top w:val="single" w:color="C0504D"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Pr/>
    </w:tblStylePr>
    <w:tblStylePr w:type="lastRow">
      <w:rPr>
        <w:b/>
        <w:bCs/>
      </w:rPr>
      <w:tblPr/>
      <w:tcPr>
        <w:tcBorders>
          <w:top w:val="single" w:color="9BBB59"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Pr/>
    </w:tblStylePr>
    <w:tblStylePr w:type="lastRow">
      <w:rPr>
        <w:b/>
        <w:bCs/>
      </w:rPr>
      <w:tblPr/>
      <w:tcPr>
        <w:tcBorders>
          <w:top w:val="single" w:color="8064A2"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Pr/>
    </w:tblStylePr>
    <w:tblStylePr w:type="lastRow">
      <w:rPr>
        <w:b/>
        <w:bCs/>
      </w:rPr>
      <w:tblPr/>
      <w:tcPr>
        <w:tcBorders>
          <w:top w:val="single" w:color="4BACC6"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Pr/>
    </w:tblStylePr>
    <w:tblStylePr w:type="lastRow">
      <w:rPr>
        <w:b/>
        <w:bCs/>
      </w:rPr>
      <w:tblPr/>
      <w:tcPr>
        <w:tcBorders>
          <w:top w:val="single" w:color="F79646"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themeColor="text1"/>
      </w:rPr>
      <w:tblPr/>
      <w:tcPr>
        <w:shd w:val="clear" w:color="auto" w:fill="E6E6E6" w:themeFill="tex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themeColor="text1"/>
      </w:rPr>
      <w:tblPr/>
      <w:tcPr>
        <w:shd w:val="clear" w:color="auto" w:fill="EDF2F8" w:themeFill="accen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themeColor="text1"/>
      </w:rPr>
      <w:tblPr/>
      <w:tcPr>
        <w:shd w:val="clear" w:color="auto" w:fill="F8EDED" w:themeFill="accent2"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themeColor="text1"/>
      </w:rPr>
      <w:tblPr/>
      <w:tcPr>
        <w:shd w:val="clear" w:color="auto" w:fill="F5F8EE" w:themeFill="accent3"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themeColor="text1"/>
      </w:rPr>
      <w:tblPr/>
      <w:tcPr>
        <w:shd w:val="clear" w:color="auto" w:fill="F2EFF6" w:themeFill="accent4"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themeColor="text1"/>
      </w:rPr>
      <w:tblPr/>
      <w:tcPr>
        <w:shd w:val="clear" w:color="auto" w:fill="EDF6F9" w:themeFill="accent5"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themeColor="text1"/>
      </w:rPr>
      <w:tblPr/>
      <w:tcPr>
        <w:shd w:val="clear" w:color="auto" w:fill="FEF4EC" w:themeFill="accent6"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rPr>
      <w:color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000000" w:themeFill="text1" w:themeFillShade="99"/>
      </w:tcPr>
    </w:tblStylePr>
    <w:tblStylePr w:type="firstCol">
      <w:rPr>
        <w:color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themeColor="text1"/>
      </w:rPr>
      <w:tblPr/>
    </w:tblStylePr>
    <w:tblStylePr w:type="nwCell">
      <w:rPr>
        <w:color w:themeColor="text1"/>
      </w:rPr>
      <w:tblPr/>
    </w:tblStylePr>
  </w:style>
  <w:style w:type="table" w:styleId="ColorfulShading-Accent1">
    <w:name w:val="Colorful Shading Accent 1"/>
    <w:basedOn w:val="TableNormal"/>
    <w:uiPriority w:val="71"/>
    <w:rsid w:val="00cb0664"/>
    <w:rPr>
      <w:color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C4C74" w:themeFill="accent1" w:themeFillShade="99"/>
      </w:tcPr>
    </w:tblStylePr>
    <w:tblStylePr w:type="firstCol">
      <w:rPr>
        <w:color w:themeColor="background1"/>
      </w:rPr>
      <w:tblPr/>
      <w:tcPr>
        <w:tcBorders>
          <w:top w:val="nil"/>
          <w:left w:val="nil"/>
          <w:bottom w:val="nil"/>
          <w:right w:val="nil"/>
          <w:insideH w:val="single" w:color="4F81BD" w:themeColor="accent1" w:sz="4" w:space="0"/>
          <w:insideV w:val="nil"/>
        </w:tcBorders>
        <w:shd w:val="clear" w:color="auto" w:fill="2C4C74" w:themeFill="accent1" w:themeFillShade="99"/>
      </w:tcPr>
    </w:tblStylePr>
    <w:tblStylePr w:type="lastCol">
      <w:rPr>
        <w:color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themeColor="text1"/>
      </w:rPr>
      <w:tblPr/>
    </w:tblStylePr>
    <w:tblStylePr w:type="nwCell">
      <w:rPr>
        <w:color w:themeColor="text1"/>
      </w:rPr>
      <w:tblPr/>
    </w:tblStylePr>
  </w:style>
  <w:style w:type="table" w:styleId="ColorfulShading-Accent2">
    <w:name w:val="Colorful Shading Accent 2"/>
    <w:basedOn w:val="TableNormal"/>
    <w:uiPriority w:val="71"/>
    <w:rsid w:val="00cb0664"/>
    <w:rPr>
      <w:color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772C2A" w:themeFill="accent2" w:themeFillShade="99"/>
      </w:tcPr>
    </w:tblStylePr>
    <w:tblStylePr w:type="firstCol">
      <w:rPr>
        <w:color w:themeColor="background1"/>
      </w:rPr>
      <w:tblPr/>
      <w:tcPr>
        <w:tcBorders>
          <w:top w:val="nil"/>
          <w:left w:val="nil"/>
          <w:bottom w:val="nil"/>
          <w:right w:val="nil"/>
          <w:insideH w:val="single" w:color="C0504D" w:themeColor="accent2" w:sz="4" w:space="0"/>
          <w:insideV w:val="nil"/>
        </w:tcBorders>
        <w:shd w:val="clear" w:color="auto" w:fill="772C2A" w:themeFill="accent2" w:themeFillShade="99"/>
      </w:tcPr>
    </w:tblStylePr>
    <w:tblStylePr w:type="lastCol">
      <w:rPr>
        <w:color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themeColor="text1"/>
      </w:rPr>
      <w:tblPr/>
    </w:tblStylePr>
    <w:tblStylePr w:type="nwCell">
      <w:rPr>
        <w:color w:themeColor="text1"/>
      </w:rPr>
      <w:tblPr/>
    </w:tblStylePr>
  </w:style>
  <w:style w:type="table" w:styleId="ColorfulShading-Accent3">
    <w:name w:val="Colorful Shading Accent 3"/>
    <w:basedOn w:val="TableNormal"/>
    <w:uiPriority w:val="71"/>
    <w:rsid w:val="00cb0664"/>
    <w:rPr>
      <w:color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5E7530" w:themeFill="accent3" w:themeFillShade="99"/>
      </w:tcPr>
    </w:tblStylePr>
    <w:tblStylePr w:type="firstCol">
      <w:rPr>
        <w:color w:themeColor="background1"/>
      </w:rPr>
      <w:tblPr/>
      <w:tcPr>
        <w:tcBorders>
          <w:top w:val="nil"/>
          <w:left w:val="nil"/>
          <w:bottom w:val="nil"/>
          <w:right w:val="nil"/>
          <w:insideH w:val="single" w:color="9BBB59" w:themeColor="accent3" w:sz="4" w:space="0"/>
          <w:insideV w:val="nil"/>
        </w:tcBorders>
        <w:shd w:val="clear" w:color="auto" w:fill="5E7530" w:themeFill="accent3" w:themeFillShade="99"/>
      </w:tcPr>
    </w:tblStylePr>
    <w:tblStylePr w:type="lastCol">
      <w:rPr>
        <w:color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4C3B62" w:themeFill="accent4" w:themeFillShade="99"/>
      </w:tcPr>
    </w:tblStylePr>
    <w:tblStylePr w:type="firstCol">
      <w:rPr>
        <w:color w:themeColor="background1"/>
      </w:rPr>
      <w:tblPr/>
      <w:tcPr>
        <w:tcBorders>
          <w:top w:val="nil"/>
          <w:left w:val="nil"/>
          <w:bottom w:val="nil"/>
          <w:right w:val="nil"/>
          <w:insideH w:val="single" w:color="8064A2" w:themeColor="accent4" w:sz="4" w:space="0"/>
          <w:insideV w:val="nil"/>
        </w:tcBorders>
        <w:shd w:val="clear" w:color="auto" w:fill="4C3B62" w:themeFill="accent4" w:themeFillShade="99"/>
      </w:tcPr>
    </w:tblStylePr>
    <w:tblStylePr w:type="lastCol">
      <w:rPr>
        <w:color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themeColor="text1"/>
      </w:rPr>
      <w:tblPr/>
    </w:tblStylePr>
    <w:tblStylePr w:type="nwCell">
      <w:rPr>
        <w:color w:themeColor="text1"/>
      </w:rPr>
      <w:tblPr/>
    </w:tblStylePr>
  </w:style>
  <w:style w:type="table" w:styleId="ColorfulShading-Accent5">
    <w:name w:val="Colorful Shading Accent 5"/>
    <w:basedOn w:val="TableNormal"/>
    <w:uiPriority w:val="71"/>
    <w:rsid w:val="00cb0664"/>
    <w:rPr>
      <w:color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76A7C" w:themeFill="accent5" w:themeFillShade="99"/>
      </w:tcPr>
    </w:tblStylePr>
    <w:tblStylePr w:type="firstCol">
      <w:rPr>
        <w:color w:themeColor="background1"/>
      </w:rPr>
      <w:tblPr/>
      <w:tcPr>
        <w:tcBorders>
          <w:top w:val="nil"/>
          <w:left w:val="nil"/>
          <w:bottom w:val="nil"/>
          <w:right w:val="nil"/>
          <w:insideH w:val="single" w:color="4BACC6" w:themeColor="accent5" w:sz="4" w:space="0"/>
          <w:insideV w:val="nil"/>
        </w:tcBorders>
        <w:shd w:val="clear" w:color="auto" w:fill="276A7C" w:themeFill="accent5" w:themeFillShade="99"/>
      </w:tcPr>
    </w:tblStylePr>
    <w:tblStylePr w:type="lastCol">
      <w:rPr>
        <w:color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themeColor="text1"/>
      </w:rPr>
      <w:tblPr/>
    </w:tblStylePr>
    <w:tblStylePr w:type="nwCell">
      <w:rPr>
        <w:color w:themeColor="text1"/>
      </w:rPr>
      <w:tblPr/>
    </w:tblStylePr>
  </w:style>
  <w:style w:type="table" w:styleId="ColorfulShading-Accent6">
    <w:name w:val="Colorful Shading Accent 6"/>
    <w:basedOn w:val="TableNormal"/>
    <w:uiPriority w:val="71"/>
    <w:rsid w:val="00cb0664"/>
    <w:rPr>
      <w:color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B65608" w:themeFill="accent6" w:themeFillShade="99"/>
      </w:tcPr>
    </w:tblStylePr>
    <w:tblStylePr w:type="firstCol">
      <w:rPr>
        <w:color w:themeColor="background1"/>
      </w:rPr>
      <w:tblPr/>
      <w:tcPr>
        <w:tcBorders>
          <w:top w:val="nil"/>
          <w:left w:val="nil"/>
          <w:bottom w:val="nil"/>
          <w:right w:val="nil"/>
          <w:insideH w:val="single" w:color="F79646" w:themeColor="accent6" w:sz="4" w:space="0"/>
          <w:insideV w:val="nil"/>
        </w:tcBorders>
        <w:shd w:val="clear" w:color="auto" w:fill="B65608" w:themeFill="accent6" w:themeFillShade="99"/>
      </w:tcPr>
    </w:tblStylePr>
    <w:tblStylePr w:type="lastCol">
      <w:rPr>
        <w:color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themeColor="text1"/>
      </w:rPr>
      <w:tblPr/>
    </w:tblStylePr>
    <w:tblStylePr w:type="nwCell">
      <w:rPr>
        <w:color w:themeColor="text1"/>
      </w:rPr>
      <w:tblPr/>
    </w:tblStylePr>
  </w:style>
  <w:style w:type="table" w:styleId="ColorfulList">
    <w:name w:val="Colorful List"/>
    <w:basedOn w:val="TableNormal"/>
    <w:uiPriority w:val="72"/>
    <w:rsid w:val="00cb0664"/>
    <w:rPr>
      <w:color w:themeColor="text1"/>
    </w:rPr>
    <w:tblPr>
      <w:tblStyleRowBandSize w:val="1"/>
      <w:tblStyleColBandSize w:val="1"/>
    </w:tblPr>
    <w:tcPr>
      <w:shd w:val="clear" w:color="auto" w:fill="E6E6E6" w:themeFill="tex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themeColor="text1"/>
    </w:rPr>
    <w:tblPr>
      <w:tblStyleRowBandSize w:val="1"/>
      <w:tblStyleColBandSize w:val="1"/>
    </w:tblPr>
    <w:tcPr>
      <w:shd w:val="clear" w:color="auto" w:fill="EDF2F8" w:themeFill="accen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themeColor="text1"/>
    </w:rPr>
    <w:tblPr>
      <w:tblStyleRowBandSize w:val="1"/>
      <w:tblStyleColBandSize w:val="1"/>
    </w:tblPr>
    <w:tcPr>
      <w:shd w:val="clear" w:color="auto" w:fill="F8EDED" w:themeFill="accent2"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themeColor="text1"/>
    </w:rPr>
    <w:tblPr>
      <w:tblStyleRowBandSize w:val="1"/>
      <w:tblStyleColBandSize w:val="1"/>
    </w:tblPr>
    <w:tcPr>
      <w:shd w:val="clear" w:color="auto" w:fill="F5F8EE" w:themeFill="accent3" w:themeFillTint="19"/>
    </w:tcPr>
    <w:tblStylePr w:type="firstRow">
      <w:rPr>
        <w:b/>
        <w:bCs/>
        <w:color w:themeColor="background1"/>
      </w:rPr>
      <w:tblPr/>
      <w:tcPr>
        <w:tcBorders>
          <w:bottom w:val="single" w:color="FFFFFF" w:themeColor="background1" w:sz="12" w:space="0"/>
        </w:tcBorders>
        <w:shd w:val="clear" w:color="auto" w:fill="664E82" w:themeFill="accent4" w:themeFillShade="cc"/>
      </w:tcPr>
    </w:tblStylePr>
    <w:tblStylePr w:type="lastRow">
      <w:rPr>
        <w:b/>
        <w:bCs/>
        <w:color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themeColor="text1"/>
    </w:rPr>
    <w:tblPr>
      <w:tblStyleRowBandSize w:val="1"/>
      <w:tblStyleColBandSize w:val="1"/>
    </w:tblPr>
    <w:tcPr>
      <w:shd w:val="clear" w:color="auto" w:fill="F2EFF6" w:themeFill="accent4" w:themeFillTint="19"/>
    </w:tcPr>
    <w:tblStylePr w:type="firstRow">
      <w:rPr>
        <w:b/>
        <w:bCs/>
        <w:color w:themeColor="background1"/>
      </w:rPr>
      <w:tblPr/>
      <w:tcPr>
        <w:tcBorders>
          <w:bottom w:val="single" w:color="FFFFFF" w:themeColor="background1" w:sz="12" w:space="0"/>
        </w:tcBorders>
        <w:shd w:val="clear" w:color="auto" w:fill="7E9C40" w:themeFill="accent3" w:themeFillShade="cc"/>
      </w:tcPr>
    </w:tblStylePr>
    <w:tblStylePr w:type="lastRow">
      <w:rPr>
        <w:b/>
        <w:bCs/>
        <w:color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themeColor="text1"/>
    </w:rPr>
    <w:tblPr>
      <w:tblStyleRowBandSize w:val="1"/>
      <w:tblStyleColBandSize w:val="1"/>
    </w:tblPr>
    <w:tcPr>
      <w:shd w:val="clear" w:color="auto" w:fill="EDF6F9" w:themeFill="accent5" w:themeFillTint="19"/>
    </w:tcPr>
    <w:tblStylePr w:type="firstRow">
      <w:rPr>
        <w:b/>
        <w:bCs/>
        <w:color w:themeColor="background1"/>
      </w:rPr>
      <w:tblPr/>
      <w:tcPr>
        <w:tcBorders>
          <w:bottom w:val="single" w:color="FFFFFF" w:themeColor="background1" w:sz="12" w:space="0"/>
        </w:tcBorders>
        <w:shd w:val="clear" w:color="auto" w:fill="F2730A" w:themeFill="accent6" w:themeFillShade="cc"/>
      </w:tcPr>
    </w:tblStylePr>
    <w:tblStylePr w:type="lastRow">
      <w:rPr>
        <w:b/>
        <w:bCs/>
        <w:color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themeColor="text1"/>
    </w:rPr>
    <w:tblPr>
      <w:tblStyleRowBandSize w:val="1"/>
      <w:tblStyleColBandSize w:val="1"/>
    </w:tblPr>
    <w:tcPr>
      <w:shd w:val="clear" w:color="auto" w:fill="FEF4EC" w:themeFill="accent6" w:themeFillTint="19"/>
    </w:tcPr>
    <w:tblStylePr w:type="firstRow">
      <w:rPr>
        <w:b/>
        <w:bCs/>
        <w:color w:themeColor="background1"/>
      </w:rPr>
      <w:tblPr/>
      <w:tcPr>
        <w:tcBorders>
          <w:bottom w:val="single" w:color="FFFFFF" w:themeColor="background1" w:sz="12" w:space="0"/>
        </w:tcBorders>
        <w:shd w:val="clear" w:color="auto" w:fill="348DA5" w:themeFill="accent5" w:themeFillShade="cc"/>
      </w:tcPr>
    </w:tblStylePr>
    <w:tblStylePr w:type="lastRow">
      <w:rPr>
        <w:b/>
        <w:bCs/>
        <w:color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themeColor="text1"/>
      </w:rPr>
      <w:tblPr/>
      <w:tcPr>
        <w:shd w:val="clear" w:color="auto" w:fill="999999" w:themeFill="text1" w:themeFillTint="66"/>
      </w:tcPr>
    </w:tblStylePr>
    <w:tblStylePr w:type="firstCol">
      <w:rPr>
        <w:color w:themeColor="background1"/>
      </w:rPr>
      <w:tblPr/>
      <w:tcPr>
        <w:shd w:val="clear" w:color="auto" w:fill="000000" w:themeFill="text1" w:themeFillShade="bf"/>
      </w:tcPr>
    </w:tblStylePr>
    <w:tblStylePr w:type="lastCol">
      <w:rPr>
        <w:color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themeColor="text1"/>
      </w:rPr>
      <w:tblPr/>
      <w:tcPr>
        <w:shd w:val="clear" w:color="auto" w:fill="B8CCE4" w:themeFill="accent1" w:themeFillTint="66"/>
      </w:tcPr>
    </w:tblStylePr>
    <w:tblStylePr w:type="firstCol">
      <w:rPr>
        <w:color w:themeColor="background1"/>
      </w:rPr>
      <w:tblPr/>
      <w:tcPr>
        <w:shd w:val="clear" w:color="auto" w:fill="365F91" w:themeFill="accent1" w:themeFillShade="bf"/>
      </w:tcPr>
    </w:tblStylePr>
    <w:tblStylePr w:type="lastCol">
      <w:rPr>
        <w:color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themeColor="text1"/>
      </w:rPr>
      <w:tblPr/>
      <w:tcPr>
        <w:shd w:val="clear" w:color="auto" w:fill="E5B8B7" w:themeFill="accent2" w:themeFillTint="66"/>
      </w:tcPr>
    </w:tblStylePr>
    <w:tblStylePr w:type="firstCol">
      <w:rPr>
        <w:color w:themeColor="background1"/>
      </w:rPr>
      <w:tblPr/>
      <w:tcPr>
        <w:shd w:val="clear" w:color="auto" w:fill="943634" w:themeFill="accent2" w:themeFillShade="bf"/>
      </w:tcPr>
    </w:tblStylePr>
    <w:tblStylePr w:type="lastCol">
      <w:rPr>
        <w:color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themeColor="text1"/>
      </w:rPr>
      <w:tblPr/>
      <w:tcPr>
        <w:shd w:val="clear" w:color="auto" w:fill="D6E3BC" w:themeFill="accent3" w:themeFillTint="66"/>
      </w:tcPr>
    </w:tblStylePr>
    <w:tblStylePr w:type="firstCol">
      <w:rPr>
        <w:color w:themeColor="background1"/>
      </w:rPr>
      <w:tblPr/>
      <w:tcPr>
        <w:shd w:val="clear" w:color="auto" w:fill="76923C" w:themeFill="accent3" w:themeFillShade="bf"/>
      </w:tcPr>
    </w:tblStylePr>
    <w:tblStylePr w:type="lastCol">
      <w:rPr>
        <w:color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themeColor="text1"/>
      </w:rPr>
      <w:tblPr/>
      <w:tcPr>
        <w:shd w:val="clear" w:color="auto" w:fill="CCC0D9" w:themeFill="accent4" w:themeFillTint="66"/>
      </w:tcPr>
    </w:tblStylePr>
    <w:tblStylePr w:type="firstCol">
      <w:rPr>
        <w:color w:themeColor="background1"/>
      </w:rPr>
      <w:tblPr/>
      <w:tcPr>
        <w:shd w:val="clear" w:color="auto" w:fill="5F497A" w:themeFill="accent4" w:themeFillShade="bf"/>
      </w:tcPr>
    </w:tblStylePr>
    <w:tblStylePr w:type="lastCol">
      <w:rPr>
        <w:color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themeColor="text1"/>
      </w:rPr>
      <w:tblPr/>
      <w:tcPr>
        <w:shd w:val="clear" w:color="auto" w:fill="B6DDE8" w:themeFill="accent5" w:themeFillTint="66"/>
      </w:tcPr>
    </w:tblStylePr>
    <w:tblStylePr w:type="firstCol">
      <w:rPr>
        <w:color w:themeColor="background1"/>
      </w:rPr>
      <w:tblPr/>
      <w:tcPr>
        <w:shd w:val="clear" w:color="auto" w:fill="31849B" w:themeFill="accent5" w:themeFillShade="bf"/>
      </w:tcPr>
    </w:tblStylePr>
    <w:tblStylePr w:type="lastCol">
      <w:rPr>
        <w:color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themeColor="text1"/>
      </w:rPr>
      <w:tblPr/>
      <w:tcPr>
        <w:shd w:val="clear" w:color="auto" w:fill="FBD4B4" w:themeFill="accent6" w:themeFillTint="66"/>
      </w:tcPr>
    </w:tblStylePr>
    <w:tblStylePr w:type="firstCol">
      <w:rPr>
        <w:color w:themeColor="background1"/>
      </w:rPr>
      <w:tblPr/>
      <w:tcPr>
        <w:shd w:val="clear" w:color="auto" w:fill="E36C0A" w:themeFill="accent6" w:themeFillShade="bf"/>
      </w:tcPr>
    </w:tblStylePr>
    <w:tblStylePr w:type="lastCol">
      <w:rPr>
        <w:color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F02F0-9314-4038-84B8-9B175317C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2689</TotalTime>
  <Application>Collabora_Office/25.04.7.3$Linux_X86_64 LibreOffice_project/4ad7ba32450f0eb1454046b82758d431ed76787a</Application>
  <AppVersion>15.0000</AppVersion>
  <Pages>5</Pages>
  <Words>1975</Words>
  <Characters>7249</Characters>
  <CharactersWithSpaces>9184</CharactersWithSpaces>
  <Paragraphs>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2026-04-15T07:05:00Z</dcterms:created>
  <dc:creator>python-docx</dc:creator>
  <dc:description>generated by python-docx</dc:description>
  <dc:language>en-US</dc:language>
  <cp:lastModifiedBy/>
  <cp:lastPrinted>2026-07-02T10:46:00Z</cp:lastPrinted>
  <dcterms:modified xsi:type="dcterms:W3CDTF">2026-09-10T10:25:54Z</dcterms:modified>
  <cp:revision>188</cp:revision>
  <dc:subject/>
  <dc:title/>
</cp:coreProperties>
</file>

<file path=docProps/custom.xml><?xml version="1.0" encoding="utf-8"?>
<Properties xmlns="http://schemas.openxmlformats.org/officeDocument/2006/custom-properties" xmlns:vt="http://schemas.openxmlformats.org/officeDocument/2006/docPropsVTypes"/>
</file>